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60" w:rsidRPr="0076752C" w:rsidRDefault="00E32D5C" w:rsidP="0076752C">
      <w:pPr>
        <w:pStyle w:val="papersubtitle"/>
        <w:bidi/>
        <w:rPr>
          <w:i/>
          <w:iCs/>
          <w:sz w:val="48"/>
          <w:szCs w:val="48"/>
          <w:rtl/>
        </w:rPr>
      </w:pPr>
      <w:r w:rsidRPr="0076752C">
        <w:rPr>
          <w:i/>
          <w:iCs/>
          <w:sz w:val="48"/>
          <w:szCs w:val="48"/>
          <w:rtl/>
        </w:rPr>
        <w:t>شروط الاحتساب وغاياته ووسائل تحقيقها</w:t>
      </w:r>
    </w:p>
    <w:p w:rsidR="00E32D5C" w:rsidRDefault="00B17049" w:rsidP="0076752C">
      <w:pPr>
        <w:pStyle w:val="papersubtitle"/>
        <w:bidi/>
        <w:rPr>
          <w:i/>
          <w:iCs/>
          <w:rtl/>
          <w:lang w:bidi="ar-MA"/>
        </w:rPr>
      </w:pPr>
      <w:r>
        <w:rPr>
          <w:i/>
          <w:iCs/>
          <w:rtl/>
        </w:rPr>
        <w:t xml:space="preserve">بحث في أصول الدعوة وطرقها </w:t>
      </w:r>
    </w:p>
    <w:p w:rsidR="0076752C" w:rsidRPr="0076752C" w:rsidRDefault="0076752C" w:rsidP="0076752C">
      <w:pPr>
        <w:pStyle w:val="papersubtitle"/>
        <w:bidi/>
        <w:rPr>
          <w:i/>
          <w:iCs/>
          <w:rtl/>
          <w:lang w:bidi="ar-MA"/>
        </w:rPr>
      </w:pPr>
    </w:p>
    <w:p w:rsidR="00E32D5C" w:rsidRPr="00CC0593" w:rsidRDefault="0076752C" w:rsidP="00CC0593">
      <w:pPr>
        <w:pStyle w:val="Affiliation"/>
        <w:bidi/>
        <w:rPr>
          <w:i/>
          <w:iCs/>
          <w:rtl/>
        </w:rPr>
      </w:pPr>
      <w:r w:rsidRPr="00CC0593">
        <w:rPr>
          <w:i/>
          <w:iCs/>
          <w:rtl/>
        </w:rPr>
        <w:t>أ</w:t>
      </w:r>
      <w:r w:rsidRPr="00CC0593">
        <w:rPr>
          <w:rFonts w:hint="cs"/>
          <w:i/>
          <w:iCs/>
          <w:rtl/>
        </w:rPr>
        <w:t>نس بوابرين</w:t>
      </w:r>
    </w:p>
    <w:p w:rsidR="00E32D5C" w:rsidRPr="00CC0593" w:rsidRDefault="00E32D5C" w:rsidP="00CC0593">
      <w:pPr>
        <w:pStyle w:val="Affiliation"/>
        <w:bidi/>
        <w:rPr>
          <w:i/>
          <w:iCs/>
          <w:rtl/>
        </w:rPr>
      </w:pPr>
      <w:r w:rsidRPr="00CC0593">
        <w:rPr>
          <w:i/>
          <w:iCs/>
          <w:rtl/>
        </w:rPr>
        <w:t xml:space="preserve">قسم الدعوة واصول الدين </w:t>
      </w:r>
    </w:p>
    <w:p w:rsidR="00E32D5C" w:rsidRPr="00CC0593" w:rsidRDefault="00E32D5C" w:rsidP="00CC0593">
      <w:pPr>
        <w:pStyle w:val="Affiliation"/>
        <w:bidi/>
        <w:rPr>
          <w:i/>
          <w:iCs/>
          <w:rtl/>
        </w:rPr>
      </w:pPr>
      <w:r w:rsidRPr="00CC0593">
        <w:rPr>
          <w:i/>
          <w:iCs/>
          <w:rtl/>
        </w:rPr>
        <w:t xml:space="preserve">كلية العلوم الاسلامية – جامعة المدينة العالمية </w:t>
      </w:r>
    </w:p>
    <w:p w:rsidR="00E32D5C" w:rsidRPr="00CC0593" w:rsidRDefault="00E32D5C" w:rsidP="00CC0593">
      <w:pPr>
        <w:pStyle w:val="Affiliation"/>
        <w:bidi/>
        <w:rPr>
          <w:i/>
          <w:iCs/>
          <w:rtl/>
        </w:rPr>
      </w:pPr>
      <w:r w:rsidRPr="00CC0593">
        <w:rPr>
          <w:i/>
          <w:iCs/>
          <w:rtl/>
        </w:rPr>
        <w:t xml:space="preserve">شاه علم- ماليزيا </w:t>
      </w:r>
    </w:p>
    <w:p w:rsidR="00E32D5C" w:rsidRPr="00CC0593" w:rsidRDefault="00CC0593" w:rsidP="00CC0593">
      <w:pPr>
        <w:pStyle w:val="Affiliation"/>
        <w:bidi/>
        <w:rPr>
          <w:i/>
          <w:iCs/>
          <w:rtl/>
        </w:rPr>
      </w:pPr>
      <w:r w:rsidRPr="00CC0593">
        <w:rPr>
          <w:i/>
          <w:iCs/>
        </w:rPr>
        <w:t>AB839@lms.mediu.edu.my</w:t>
      </w:r>
      <w:r w:rsidR="00E32D5C" w:rsidRPr="00CC0593">
        <w:rPr>
          <w:i/>
          <w:iCs/>
          <w:rtl/>
        </w:rPr>
        <w:t xml:space="preserve">  </w:t>
      </w:r>
    </w:p>
    <w:p w:rsidR="0076752C" w:rsidRDefault="0076752C" w:rsidP="00916E5C">
      <w:pPr>
        <w:bidi/>
        <w:rPr>
          <w:rFonts w:asciiTheme="minorBidi" w:hAnsiTheme="minorBidi"/>
          <w:b/>
          <w:bCs/>
          <w:sz w:val="24"/>
          <w:szCs w:val="24"/>
          <w:shd w:val="clear" w:color="auto" w:fill="FFFFFF"/>
        </w:rPr>
      </w:pPr>
    </w:p>
    <w:p w:rsidR="0076752C" w:rsidRDefault="0076752C" w:rsidP="0076752C">
      <w:pPr>
        <w:bidi/>
        <w:rPr>
          <w:rFonts w:asciiTheme="minorBidi" w:hAnsiTheme="minorBidi"/>
          <w:b/>
          <w:bCs/>
          <w:sz w:val="24"/>
          <w:szCs w:val="24"/>
          <w:shd w:val="clear" w:color="auto" w:fill="FFFFFF"/>
          <w:rtl/>
        </w:rPr>
        <w:sectPr w:rsidR="0076752C" w:rsidSect="0076752C">
          <w:pgSz w:w="11906" w:h="16838"/>
          <w:pgMar w:top="1440" w:right="1800" w:bottom="1440" w:left="1800" w:header="708" w:footer="708" w:gutter="0"/>
          <w:cols w:space="708"/>
          <w:bidi/>
          <w:docGrid w:linePitch="360"/>
        </w:sectPr>
      </w:pPr>
    </w:p>
    <w:p w:rsidR="00E32D5C" w:rsidRPr="00CC0593" w:rsidRDefault="00E32D5C" w:rsidP="00916E5C">
      <w:pPr>
        <w:bidi/>
        <w:rPr>
          <w:rFonts w:ascii="Times New Roman" w:eastAsia="Times New Roman" w:hAnsi="Times New Roman" w:cs="Times New Roman"/>
          <w:b/>
          <w:bCs/>
          <w:sz w:val="18"/>
          <w:szCs w:val="18"/>
          <w:rtl/>
          <w:lang w:val="en-US" w:eastAsia="zh-CN"/>
        </w:rPr>
      </w:pPr>
      <w:r w:rsidRPr="00CC0593">
        <w:rPr>
          <w:rFonts w:ascii="Times New Roman" w:eastAsia="Times New Roman" w:hAnsi="Times New Roman" w:cs="Times New Roman"/>
          <w:b/>
          <w:bCs/>
          <w:sz w:val="18"/>
          <w:szCs w:val="18"/>
          <w:rtl/>
          <w:lang w:val="en-US" w:eastAsia="zh-CN"/>
        </w:rPr>
        <w:lastRenderedPageBreak/>
        <w:t>خلاصة هذا البحث:هذا البحث الذي بين ايدينا يبحث في مسالة الاحتساب من حيث شروطه كما يبين الهدف الاسمى منه والوسائل الكفيلة بنحقيق مقصده النبيل طلبا للصلاح والاصلاح .</w:t>
      </w:r>
    </w:p>
    <w:p w:rsidR="00E32D5C" w:rsidRPr="00CC0593" w:rsidRDefault="00E32D5C" w:rsidP="00916E5C">
      <w:pPr>
        <w:bidi/>
        <w:rPr>
          <w:rFonts w:ascii="Times New Roman" w:eastAsia="Times New Roman" w:hAnsi="Times New Roman" w:cs="Times New Roman"/>
          <w:b/>
          <w:bCs/>
          <w:sz w:val="18"/>
          <w:szCs w:val="18"/>
          <w:rtl/>
          <w:lang w:val="en-US" w:eastAsia="zh-CN"/>
        </w:rPr>
      </w:pPr>
      <w:r w:rsidRPr="00CC0593">
        <w:rPr>
          <w:rFonts w:ascii="Times New Roman" w:eastAsia="Times New Roman" w:hAnsi="Times New Roman" w:cs="Times New Roman"/>
          <w:b/>
          <w:bCs/>
          <w:sz w:val="18"/>
          <w:szCs w:val="18"/>
          <w:rtl/>
          <w:lang w:val="en-US" w:eastAsia="zh-CN"/>
        </w:rPr>
        <w:t xml:space="preserve"> الكلمات المفتاحية:الاحتساب –ا</w:t>
      </w:r>
      <w:r w:rsidR="00916E5C" w:rsidRPr="00CC0593">
        <w:rPr>
          <w:rFonts w:ascii="Times New Roman" w:eastAsia="Times New Roman" w:hAnsi="Times New Roman" w:cs="Times New Roman"/>
          <w:b/>
          <w:bCs/>
          <w:sz w:val="18"/>
          <w:szCs w:val="18"/>
          <w:rtl/>
          <w:lang w:val="en-US" w:eastAsia="zh-CN"/>
        </w:rPr>
        <w:t>لفساد</w:t>
      </w:r>
      <w:r w:rsidRPr="00CC0593">
        <w:rPr>
          <w:rFonts w:ascii="Times New Roman" w:eastAsia="Times New Roman" w:hAnsi="Times New Roman" w:cs="Times New Roman"/>
          <w:b/>
          <w:bCs/>
          <w:sz w:val="18"/>
          <w:szCs w:val="18"/>
          <w:rtl/>
          <w:lang w:val="en-US" w:eastAsia="zh-CN"/>
        </w:rPr>
        <w:t xml:space="preserve"> – الامر بالمعروف والنهي عن المنكر </w:t>
      </w:r>
      <w:r w:rsidR="00916E5C" w:rsidRPr="00CC0593">
        <w:rPr>
          <w:rFonts w:ascii="Times New Roman" w:eastAsia="Times New Roman" w:hAnsi="Times New Roman" w:cs="Times New Roman"/>
          <w:b/>
          <w:bCs/>
          <w:sz w:val="18"/>
          <w:szCs w:val="18"/>
          <w:rtl/>
          <w:lang w:val="en-US" w:eastAsia="zh-CN"/>
        </w:rPr>
        <w:t>–</w:t>
      </w:r>
    </w:p>
    <w:p w:rsidR="00916E5C" w:rsidRPr="00950579" w:rsidRDefault="00916E5C" w:rsidP="00916E5C">
      <w:pPr>
        <w:bidi/>
        <w:jc w:val="center"/>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lang w:val="en-US" w:eastAsia="zh-CN"/>
        </w:rPr>
        <w:t xml:space="preserve">I </w:t>
      </w:r>
      <w:r w:rsidRPr="00950579">
        <w:rPr>
          <w:rFonts w:ascii="Times New Roman" w:eastAsia="Times New Roman" w:hAnsi="Times New Roman" w:cs="Times New Roman"/>
          <w:b/>
          <w:bCs/>
          <w:sz w:val="18"/>
          <w:szCs w:val="18"/>
          <w:rtl/>
          <w:lang w:val="en-US" w:eastAsia="zh-CN"/>
        </w:rPr>
        <w:t>ـالمقدمة</w:t>
      </w:r>
    </w:p>
    <w:p w:rsidR="00916E5C" w:rsidRPr="00950579" w:rsidRDefault="00916E5C" w:rsidP="00DD29B3">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الاحتساب في الاسلام واجب على كل مكلف سواء كان متطوعا او معينا من الولاة او القضاة لكن العلماء سنوا للاحتساب شروطا ووضعوا له مقاصد تدور كلها في فلك مصلحة العباد والبلاد والبحث التالي يجلي هذه القضايا بصورة واضحة.</w:t>
      </w:r>
    </w:p>
    <w:p w:rsidR="00916E5C" w:rsidRPr="00950579" w:rsidRDefault="00916E5C" w:rsidP="00916E5C">
      <w:pPr>
        <w:bidi/>
        <w:jc w:val="center"/>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lang w:val="en-US" w:eastAsia="zh-CN"/>
        </w:rPr>
        <w:t>II</w:t>
      </w:r>
      <w:r w:rsidRPr="00950579">
        <w:rPr>
          <w:rFonts w:ascii="Times New Roman" w:eastAsia="Times New Roman" w:hAnsi="Times New Roman" w:cs="Times New Roman"/>
          <w:b/>
          <w:bCs/>
          <w:sz w:val="18"/>
          <w:szCs w:val="18"/>
          <w:rtl/>
          <w:lang w:val="en-US" w:eastAsia="zh-CN"/>
        </w:rPr>
        <w:t>- موضوع المقالة</w:t>
      </w:r>
    </w:p>
    <w:p w:rsidR="00916E5C" w:rsidRPr="00950579" w:rsidRDefault="00916E5C" w:rsidP="00916E5C">
      <w:pPr>
        <w:pStyle w:val="ListParagraph"/>
        <w:numPr>
          <w:ilvl w:val="0"/>
          <w:numId w:val="1"/>
        </w:numPr>
        <w:bidi/>
        <w:rPr>
          <w:rFonts w:ascii="Times New Roman" w:eastAsia="Times New Roman" w:hAnsi="Times New Roman" w:cs="Times New Roman"/>
          <w:b/>
          <w:bCs/>
          <w:sz w:val="18"/>
          <w:szCs w:val="18"/>
          <w:lang w:val="en-US" w:eastAsia="zh-CN"/>
        </w:rPr>
      </w:pPr>
      <w:r w:rsidRPr="00950579">
        <w:rPr>
          <w:rFonts w:ascii="Times New Roman" w:eastAsia="Times New Roman" w:hAnsi="Times New Roman" w:cs="Times New Roman"/>
          <w:b/>
          <w:bCs/>
          <w:sz w:val="18"/>
          <w:szCs w:val="18"/>
          <w:rtl/>
          <w:lang w:val="en-US" w:eastAsia="zh-CN"/>
        </w:rPr>
        <w:t>شروط الاحتساب:</w:t>
      </w:r>
    </w:p>
    <w:p w:rsidR="00916E5C" w:rsidRPr="00950579" w:rsidRDefault="00916E5C" w:rsidP="00916E5C">
      <w:pPr>
        <w:pStyle w:val="ListParagraph"/>
        <w:numPr>
          <w:ilvl w:val="0"/>
          <w:numId w:val="2"/>
        </w:numPr>
        <w:bidi/>
        <w:rPr>
          <w:rFonts w:ascii="Times New Roman" w:eastAsia="Times New Roman" w:hAnsi="Times New Roman" w:cs="Times New Roman"/>
          <w:b/>
          <w:bCs/>
          <w:sz w:val="18"/>
          <w:szCs w:val="18"/>
          <w:lang w:val="en-US" w:eastAsia="zh-CN"/>
        </w:rPr>
      </w:pPr>
      <w:r w:rsidRPr="00950579">
        <w:rPr>
          <w:rFonts w:ascii="Times New Roman" w:eastAsia="Times New Roman" w:hAnsi="Times New Roman" w:cs="Times New Roman"/>
          <w:b/>
          <w:bCs/>
          <w:sz w:val="18"/>
          <w:szCs w:val="18"/>
          <w:rtl/>
          <w:lang w:val="en-US" w:eastAsia="zh-CN"/>
        </w:rPr>
        <w:t>أولاً: أن يكون المنكر ظاهراً فالُمظهر للمنكر استحق الإنكار علانية من الناس</w:t>
      </w:r>
      <w:r w:rsidR="004076F8" w:rsidRPr="00950579">
        <w:rPr>
          <w:rFonts w:ascii="Times New Roman" w:eastAsia="Times New Roman" w:hAnsi="Times New Roman" w:cs="Times New Roman"/>
          <w:b/>
          <w:bCs/>
          <w:sz w:val="18"/>
          <w:szCs w:val="18"/>
          <w:rtl/>
          <w:lang w:val="en-US" w:eastAsia="zh-CN"/>
        </w:rPr>
        <w:t>.</w:t>
      </w:r>
    </w:p>
    <w:p w:rsidR="004076F8" w:rsidRPr="00950579" w:rsidRDefault="004076F8" w:rsidP="00DD29B3">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وهل يسقط الاحتساب بالتجسس؟</w:t>
      </w:r>
    </w:p>
    <w:p w:rsidR="004076F8" w:rsidRPr="00950579" w:rsidRDefault="004076F8" w:rsidP="00DD29B3">
      <w:pPr>
        <w:bidi/>
        <w:jc w:val="both"/>
        <w:rPr>
          <w:rFonts w:ascii="Times New Roman" w:eastAsia="Times New Roman" w:hAnsi="Times New Roman" w:cs="Times New Roman"/>
          <w:b/>
          <w:bCs/>
          <w:sz w:val="18"/>
          <w:szCs w:val="18"/>
          <w:lang w:val="en-US" w:eastAsia="zh-CN"/>
        </w:rPr>
      </w:pPr>
      <w:r w:rsidRPr="00950579">
        <w:rPr>
          <w:rFonts w:ascii="Times New Roman" w:eastAsia="Times New Roman" w:hAnsi="Times New Roman" w:cs="Times New Roman"/>
          <w:b/>
          <w:bCs/>
          <w:sz w:val="18"/>
          <w:szCs w:val="18"/>
          <w:rtl/>
          <w:lang w:val="en-US" w:eastAsia="zh-CN"/>
        </w:rPr>
        <w:t>وأما تسور الجدران على من عُلِمَ اجتماعهم على منكر فقد أنكره الأئمة مثل سفيان الثوري رحمه الله وغيره، وهو داخل في التجسس المنهي عنه، ولا يجب على العالم ولا على العامي أن يكشف منكراً قد سُتِرَ، بل محظور عليه كشفه لقوله تعالى: {ولا تجسسوا} ولحديث أبي بَرزة الأسلمي رضي الله عنه قال: إن رسول الله صلى الله عليه وسلم قال: "يا معشر من آمن بلسانه ولم يدخل الإيمان قلبه! لا تغتابوا المسلمين، ولا تتبعوا عوراتهم فإنه من اتبع عوراتهم يتبع الله عورته، ومن تتبع الله عورته يفضحه ولو في بيته". فكل من الآية والحديث أصل في تحريم التجسس واتباع عورات المسلمين؛ فإنَّ للبيوت حرمة فلا يجوز دخولها من غير إذن أصحابها، لذلك لا ينبغي للآمر بالمعروف البحث والتجسس واقتحام الدور بالظنون، بل إن عثر على منكر غيَّره جهده.</w:t>
      </w:r>
    </w:p>
    <w:p w:rsidR="00916E5C" w:rsidRPr="00950579" w:rsidRDefault="00916E5C" w:rsidP="00916E5C">
      <w:pPr>
        <w:pStyle w:val="ListParagraph"/>
        <w:numPr>
          <w:ilvl w:val="0"/>
          <w:numId w:val="2"/>
        </w:numPr>
        <w:bidi/>
        <w:rPr>
          <w:rFonts w:ascii="Times New Roman" w:eastAsia="Times New Roman" w:hAnsi="Times New Roman" w:cs="Times New Roman"/>
          <w:b/>
          <w:bCs/>
          <w:sz w:val="18"/>
          <w:szCs w:val="18"/>
          <w:lang w:val="en-US" w:eastAsia="zh-CN"/>
        </w:rPr>
      </w:pPr>
      <w:r w:rsidRPr="00950579">
        <w:rPr>
          <w:rFonts w:ascii="Times New Roman" w:eastAsia="Times New Roman" w:hAnsi="Times New Roman" w:cs="Times New Roman"/>
          <w:b/>
          <w:bCs/>
          <w:sz w:val="18"/>
          <w:szCs w:val="18"/>
          <w:rtl/>
          <w:lang w:val="en-US" w:eastAsia="zh-CN"/>
        </w:rPr>
        <w:t>ثانيا:</w:t>
      </w:r>
      <w:r w:rsidR="004076F8" w:rsidRPr="00950579">
        <w:rPr>
          <w:rFonts w:ascii="Times New Roman" w:eastAsia="Times New Roman" w:hAnsi="Times New Roman" w:cs="Times New Roman"/>
          <w:b/>
          <w:bCs/>
          <w:sz w:val="18"/>
          <w:szCs w:val="18"/>
          <w:rtl/>
          <w:lang w:val="en-US" w:eastAsia="zh-CN"/>
        </w:rPr>
        <w:t xml:space="preserve">الحلول: ويعني ان كون المنكر توا حالا في اللحظة وصاحبه مستمر في فعلها </w:t>
      </w:r>
    </w:p>
    <w:p w:rsidR="004076F8" w:rsidRPr="00950579" w:rsidRDefault="004076F8"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وقد سئل الإمام أحمد بن حنبل: عن الرجل الذي يسمع صوت الطبل والمزمار، ولا يعرف مكانه؟ فقال: وما عليه لا يعرف مكانه؟!. وسئل عن الرجل الذي يسمع حسّ الطبل والمزمار ولا يعرف مكانه؟ فقال: وما عليك؟ وقال: ما غاب لا تفتّش.</w:t>
      </w:r>
    </w:p>
    <w:p w:rsidR="004076F8" w:rsidRPr="00950579" w:rsidRDefault="004076F8"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فإذا انتفى الحلول انتفى الظهور الموجب للاحتساب لفوات مَحلّه</w:t>
      </w:r>
    </w:p>
    <w:p w:rsidR="00916E5C" w:rsidRPr="00950579" w:rsidRDefault="00013BA7"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lastRenderedPageBreak/>
        <w:t>ويقول العلامة ابن نجيم في بحث التعزير : ( قالوا لكل مسلم إقامته حال مباشرة</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المعصية ، وأما بعد الفراغ منها – أي المعصبة – فليس ذلك لغير الحاكم</w:t>
      </w:r>
    </w:p>
    <w:p w:rsidR="00013BA7" w:rsidRPr="00950579" w:rsidRDefault="00013BA7" w:rsidP="00903A7F">
      <w:pPr>
        <w:bidi/>
        <w:jc w:val="both"/>
        <w:rPr>
          <w:rFonts w:ascii="Times New Roman" w:eastAsia="Times New Roman" w:hAnsi="Times New Roman" w:cs="Times New Roman"/>
          <w:b/>
          <w:bCs/>
          <w:sz w:val="18"/>
          <w:szCs w:val="18"/>
          <w:lang w:val="en-US" w:eastAsia="zh-CN"/>
        </w:rPr>
      </w:pPr>
      <w:r w:rsidRPr="00950579">
        <w:rPr>
          <w:rFonts w:ascii="Times New Roman" w:eastAsia="Times New Roman" w:hAnsi="Times New Roman" w:cs="Times New Roman"/>
          <w:b/>
          <w:bCs/>
          <w:sz w:val="18"/>
          <w:szCs w:val="18"/>
          <w:rtl/>
          <w:lang w:val="en-US" w:eastAsia="zh-CN"/>
        </w:rPr>
        <w:t>الغاية من الاحتساب  ووسائل تحقيقها :</w:t>
      </w:r>
    </w:p>
    <w:p w:rsidR="00013BA7" w:rsidRPr="00950579" w:rsidRDefault="00013BA7"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 xml:space="preserve">هي قمع الفساد وحلول الصلاح وتحقيق والخير والنفع للامة </w:t>
      </w:r>
    </w:p>
    <w:p w:rsidR="00013BA7" w:rsidRPr="00950579" w:rsidRDefault="00013BA7" w:rsidP="00903A7F">
      <w:pPr>
        <w:bidi/>
        <w:jc w:val="both"/>
        <w:rPr>
          <w:rFonts w:ascii="Times New Roman" w:eastAsia="Times New Roman" w:hAnsi="Times New Roman" w:cs="Times New Roman"/>
          <w:b/>
          <w:bCs/>
          <w:sz w:val="18"/>
          <w:szCs w:val="18"/>
          <w:lang w:val="en-US" w:eastAsia="zh-CN"/>
        </w:rPr>
      </w:pPr>
      <w:r w:rsidRPr="00950579">
        <w:rPr>
          <w:rFonts w:ascii="Times New Roman" w:eastAsia="Times New Roman" w:hAnsi="Times New Roman" w:cs="Times New Roman"/>
          <w:b/>
          <w:bCs/>
          <w:sz w:val="18"/>
          <w:szCs w:val="18"/>
          <w:rtl/>
          <w:lang w:val="en-US" w:eastAsia="zh-CN"/>
        </w:rPr>
        <w:t>وللحسبة</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طرق</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ووسائل</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كثيرة</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ينبغي</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للمحتسب</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مراعاتها</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واستغلالها</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والعمل</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على</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تطويرها</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والمحتسب</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الفطن</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يتفنن</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في</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تطبيقها</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بما</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يتوافق</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وحال</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المحتسب</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عليه</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وكذلك</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النظر</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إلى</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الوقت</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المناسب</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وعدم</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تضييع</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الفرص</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والمبادرة</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إلى</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اقتناص</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الفرص</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الكفيلة</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بتجسيد</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العمل</w:t>
      </w:r>
      <w:r w:rsidRPr="00950579">
        <w:rPr>
          <w:rFonts w:ascii="Times New Roman" w:eastAsia="Times New Roman" w:hAnsi="Times New Roman" w:cs="Times New Roman"/>
          <w:b/>
          <w:bCs/>
          <w:sz w:val="18"/>
          <w:szCs w:val="18"/>
          <w:lang w:val="en-US" w:eastAsia="zh-CN"/>
        </w:rPr>
        <w:t xml:space="preserve"> </w:t>
      </w:r>
      <w:r w:rsidRPr="00950579">
        <w:rPr>
          <w:rFonts w:ascii="Times New Roman" w:eastAsia="Times New Roman" w:hAnsi="Times New Roman" w:cs="Times New Roman"/>
          <w:b/>
          <w:bCs/>
          <w:sz w:val="18"/>
          <w:szCs w:val="18"/>
          <w:rtl/>
          <w:lang w:val="en-US" w:eastAsia="zh-CN"/>
        </w:rPr>
        <w:t>الاحتسابي</w:t>
      </w:r>
      <w:r w:rsidRPr="00950579">
        <w:rPr>
          <w:rFonts w:ascii="Times New Roman" w:eastAsia="Times New Roman" w:hAnsi="Times New Roman" w:cs="Times New Roman"/>
          <w:b/>
          <w:bCs/>
          <w:sz w:val="18"/>
          <w:szCs w:val="18"/>
          <w:lang w:val="en-US" w:eastAsia="zh-CN"/>
        </w:rPr>
        <w:t xml:space="preserve"> ...</w:t>
      </w:r>
    </w:p>
    <w:p w:rsidR="00013BA7" w:rsidRPr="00950579" w:rsidRDefault="00013BA7"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 xml:space="preserve">الطريقة الوعظية التذكيرية : </w:t>
      </w:r>
    </w:p>
    <w:tbl>
      <w:tblPr>
        <w:bidiVisual/>
        <w:tblW w:w="0" w:type="auto"/>
        <w:tblCellSpacing w:w="15" w:type="dxa"/>
        <w:tblCellMar>
          <w:top w:w="15" w:type="dxa"/>
          <w:left w:w="15" w:type="dxa"/>
          <w:bottom w:w="15" w:type="dxa"/>
          <w:right w:w="15" w:type="dxa"/>
        </w:tblCellMar>
        <w:tblLook w:val="04A0"/>
      </w:tblPr>
      <w:tblGrid>
        <w:gridCol w:w="96"/>
      </w:tblGrid>
      <w:tr w:rsidR="00013BA7" w:rsidRPr="00903A7F">
        <w:trPr>
          <w:tblCellSpacing w:w="15" w:type="dxa"/>
        </w:trPr>
        <w:tc>
          <w:tcPr>
            <w:tcW w:w="0" w:type="auto"/>
            <w:vAlign w:val="center"/>
            <w:hideMark/>
          </w:tcPr>
          <w:p w:rsidR="00013BA7" w:rsidRPr="00950579" w:rsidRDefault="00013BA7" w:rsidP="00903A7F">
            <w:pPr>
              <w:bidi/>
              <w:jc w:val="both"/>
              <w:rPr>
                <w:rFonts w:ascii="Times New Roman" w:eastAsia="Times New Roman" w:hAnsi="Times New Roman" w:cs="Times New Roman"/>
                <w:b/>
                <w:bCs/>
                <w:sz w:val="18"/>
                <w:szCs w:val="18"/>
                <w:lang w:val="en-US" w:eastAsia="zh-CN"/>
              </w:rPr>
            </w:pPr>
          </w:p>
        </w:tc>
      </w:tr>
    </w:tbl>
    <w:p w:rsidR="00013BA7" w:rsidRPr="00950579" w:rsidRDefault="00013BA7"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وهذه الطريقة التي تنفع مع الناسي أو المتجاهل ، أو الكسلان أو العاصي ، المستهين بأمر الله تعالى . ويستحسن أن يختار المحتسب مع هؤلاء الأسلوب الأمثل الذي ينفع في كل حالة.</w:t>
      </w:r>
    </w:p>
    <w:p w:rsidR="00013BA7" w:rsidRPr="00950579" w:rsidRDefault="00013BA7"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وإذا اقتضى الحال من ذي المروءة والمكانة من المحتسبين أن يوجه التقريع أو اللوم أو شيئا من عنيف القول فلا بأس</w:t>
      </w:r>
    </w:p>
    <w:p w:rsidR="00013BA7" w:rsidRPr="00950579" w:rsidRDefault="00013BA7" w:rsidP="00903A7F">
      <w:pPr>
        <w:bidi/>
        <w:jc w:val="both"/>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t>الرفق: إن الرفق يعني لين الجانب بالقول والفعل واللطف في اختيار الأسلوب وانتقاء الكلمات وطريقة التعامل مع الآخرين وترك التعنيف والشدة والغلظة في ذلك والأخذ بالأسهل. والرفق عام يدخل في كل شيء تعامل الإنسان مع نفسه ومع أهله ومع أقاربه وأصحابه ومع من يشاركه في مصلحة أو جوار وحتى مع أعدائه وخصومه فهو شامل لكل الأحوال والشؤون المناسبة له.</w:t>
      </w:r>
      <w:r w:rsidRPr="00950579">
        <w:rPr>
          <w:rFonts w:ascii="Times New Roman" w:eastAsia="Times New Roman" w:hAnsi="Times New Roman" w:cs="Times New Roman"/>
          <w:b/>
          <w:bCs/>
          <w:sz w:val="18"/>
          <w:szCs w:val="18"/>
          <w:rtl/>
          <w:lang w:val="en-US" w:eastAsia="zh-CN"/>
        </w:rPr>
        <w:br/>
      </w:r>
      <w:r w:rsidRPr="00950579">
        <w:rPr>
          <w:rFonts w:ascii="Times New Roman" w:eastAsia="Times New Roman" w:hAnsi="Times New Roman" w:cs="Times New Roman"/>
          <w:b/>
          <w:bCs/>
          <w:sz w:val="18"/>
          <w:szCs w:val="18"/>
          <w:rtl/>
          <w:lang w:val="en-US" w:eastAsia="zh-CN"/>
        </w:rPr>
        <w:br/>
        <w:t>إن استعمال الرفق في الأمور يؤدي إلى أحسن النتائج وأطيب العواقب ويبارك الله في هذا السلوك وينفع به. أما استعمال العنف والشدة والغلظة تفسد الأمور وتصعبها على أصحابها وتجعل النتائج عكسية ويحرم الخير من ترك الرفق وترفع البركة في عمله ويصعب عليه الأمر. قال رسول الله صلى الله عليه وسلم: (من يحرم الرفق يحرم الخير كله). رواه مسلم. وقال صلى الله عليه وسلم: (إن الله رفيق يحب الرفق ويعطي على الرفق ما لا يعطي على العنف وما لا يعطي على ما سواه). رواه مسلم.</w:t>
      </w:r>
      <w:r w:rsidRPr="00950579">
        <w:rPr>
          <w:rFonts w:ascii="Times New Roman" w:eastAsia="Times New Roman" w:hAnsi="Times New Roman" w:cs="Times New Roman"/>
          <w:b/>
          <w:bCs/>
          <w:sz w:val="18"/>
          <w:szCs w:val="18"/>
          <w:rtl/>
          <w:lang w:val="en-US" w:eastAsia="zh-CN"/>
        </w:rPr>
        <w:br/>
        <w:t>كما أن الرفق له أثر حسن في التأليف بين القلوب والإصلاح بين المتخاصمين وهداية الكفار وسوقهم إلى حظيرة الإسلام .</w:t>
      </w:r>
    </w:p>
    <w:p w:rsidR="007D0B6C" w:rsidRDefault="007D0B6C" w:rsidP="005539B7">
      <w:pPr>
        <w:bidi/>
        <w:rPr>
          <w:rFonts w:ascii="Times New Roman" w:eastAsia="Times New Roman" w:hAnsi="Times New Roman" w:cs="Times New Roman" w:hint="cs"/>
          <w:b/>
          <w:bCs/>
          <w:sz w:val="18"/>
          <w:szCs w:val="18"/>
          <w:rtl/>
          <w:lang w:val="en-US" w:eastAsia="zh-CN"/>
        </w:rPr>
      </w:pPr>
    </w:p>
    <w:p w:rsidR="007D0B6C" w:rsidRDefault="007D0B6C" w:rsidP="007D0B6C">
      <w:pPr>
        <w:bidi/>
        <w:rPr>
          <w:rFonts w:ascii="Times New Roman" w:eastAsia="Times New Roman" w:hAnsi="Times New Roman" w:cs="Times New Roman" w:hint="cs"/>
          <w:b/>
          <w:bCs/>
          <w:sz w:val="18"/>
          <w:szCs w:val="18"/>
          <w:rtl/>
          <w:lang w:val="en-US" w:eastAsia="zh-CN"/>
        </w:rPr>
      </w:pPr>
    </w:p>
    <w:p w:rsidR="007D0B6C" w:rsidRDefault="007D0B6C" w:rsidP="007D0B6C">
      <w:pPr>
        <w:bidi/>
        <w:rPr>
          <w:rFonts w:ascii="Times New Roman" w:eastAsia="Times New Roman" w:hAnsi="Times New Roman" w:cs="Times New Roman" w:hint="cs"/>
          <w:b/>
          <w:bCs/>
          <w:sz w:val="18"/>
          <w:szCs w:val="18"/>
          <w:rtl/>
          <w:lang w:val="en-US" w:eastAsia="zh-CN"/>
        </w:rPr>
      </w:pPr>
    </w:p>
    <w:p w:rsidR="005539B7" w:rsidRPr="00950579" w:rsidRDefault="005539B7" w:rsidP="007D0B6C">
      <w:pPr>
        <w:bidi/>
        <w:jc w:val="center"/>
        <w:rPr>
          <w:rFonts w:ascii="Times New Roman" w:eastAsia="Times New Roman" w:hAnsi="Times New Roman" w:cs="Times New Roman"/>
          <w:b/>
          <w:bCs/>
          <w:sz w:val="18"/>
          <w:szCs w:val="18"/>
          <w:rtl/>
          <w:lang w:val="en-US" w:eastAsia="zh-CN"/>
        </w:rPr>
      </w:pPr>
      <w:r w:rsidRPr="00950579">
        <w:rPr>
          <w:rFonts w:ascii="Times New Roman" w:eastAsia="Times New Roman" w:hAnsi="Times New Roman" w:cs="Times New Roman"/>
          <w:b/>
          <w:bCs/>
          <w:sz w:val="18"/>
          <w:szCs w:val="18"/>
          <w:rtl/>
          <w:lang w:val="en-US" w:eastAsia="zh-CN"/>
        </w:rPr>
        <w:lastRenderedPageBreak/>
        <w:t>المصادر والمراجع</w:t>
      </w:r>
    </w:p>
    <w:p w:rsidR="001F0007" w:rsidRPr="00EB6D73" w:rsidRDefault="001F0007" w:rsidP="001F0007">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1F0007" w:rsidRPr="00EB6D73" w:rsidRDefault="001F0007" w:rsidP="001F0007">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013BA7" w:rsidRPr="00950579" w:rsidRDefault="00013BA7" w:rsidP="001F0007">
      <w:pPr>
        <w:bidi/>
        <w:spacing w:before="100" w:beforeAutospacing="1" w:after="100" w:afterAutospacing="1" w:line="240" w:lineRule="auto"/>
        <w:ind w:left="786"/>
        <w:rPr>
          <w:rFonts w:ascii="Times New Roman" w:eastAsia="Times New Roman" w:hAnsi="Times New Roman" w:cs="Times New Roman"/>
          <w:b/>
          <w:bCs/>
          <w:sz w:val="18"/>
          <w:szCs w:val="18"/>
          <w:rtl/>
          <w:lang w:val="en-US" w:eastAsia="zh-CN"/>
        </w:rPr>
      </w:pPr>
    </w:p>
    <w:sectPr w:rsidR="00013BA7" w:rsidRPr="00950579" w:rsidSect="0076752C">
      <w:type w:val="continuous"/>
      <w:pgSz w:w="11906" w:h="16838"/>
      <w:pgMar w:top="1440" w:right="1800" w:bottom="1440" w:left="1800" w:header="708" w:footer="708" w:gutter="0"/>
      <w:cols w:num="2" w:space="708"/>
      <w:bidi/>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8FB"/>
    <w:multiLevelType w:val="hybridMultilevel"/>
    <w:tmpl w:val="DCE6EB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7645DB"/>
    <w:multiLevelType w:val="hybridMultilevel"/>
    <w:tmpl w:val="B262DBB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0C4EB6"/>
    <w:multiLevelType w:val="hybridMultilevel"/>
    <w:tmpl w:val="9782F12C"/>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32D5C"/>
    <w:rsid w:val="00013BA7"/>
    <w:rsid w:val="00092C60"/>
    <w:rsid w:val="001F0007"/>
    <w:rsid w:val="004076F8"/>
    <w:rsid w:val="004601E1"/>
    <w:rsid w:val="004A32F8"/>
    <w:rsid w:val="005539B7"/>
    <w:rsid w:val="0076752C"/>
    <w:rsid w:val="00783584"/>
    <w:rsid w:val="00784441"/>
    <w:rsid w:val="007D0B6C"/>
    <w:rsid w:val="00827362"/>
    <w:rsid w:val="008A1163"/>
    <w:rsid w:val="008C08AF"/>
    <w:rsid w:val="00903A7F"/>
    <w:rsid w:val="00916E5C"/>
    <w:rsid w:val="00950579"/>
    <w:rsid w:val="00B17049"/>
    <w:rsid w:val="00CC0593"/>
    <w:rsid w:val="00DD29B3"/>
    <w:rsid w:val="00E32D5C"/>
    <w:rsid w:val="00F651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2D5C"/>
    <w:rPr>
      <w:b/>
      <w:bCs/>
    </w:rPr>
  </w:style>
  <w:style w:type="character" w:styleId="Hyperlink">
    <w:name w:val="Hyperlink"/>
    <w:basedOn w:val="DefaultParagraphFont"/>
    <w:uiPriority w:val="99"/>
    <w:unhideWhenUsed/>
    <w:rsid w:val="00E32D5C"/>
    <w:rPr>
      <w:color w:val="0000FF" w:themeColor="hyperlink"/>
      <w:u w:val="single"/>
    </w:rPr>
  </w:style>
  <w:style w:type="paragraph" w:styleId="ListParagraph">
    <w:name w:val="List Paragraph"/>
    <w:basedOn w:val="Normal"/>
    <w:uiPriority w:val="34"/>
    <w:qFormat/>
    <w:rsid w:val="00916E5C"/>
    <w:pPr>
      <w:ind w:left="720"/>
      <w:contextualSpacing/>
    </w:pPr>
  </w:style>
  <w:style w:type="paragraph" w:customStyle="1" w:styleId="papersubtitle">
    <w:name w:val="paper subtitle"/>
    <w:rsid w:val="0076752C"/>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CC0593"/>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9</cp:revision>
  <dcterms:created xsi:type="dcterms:W3CDTF">2013-05-20T10:02:00Z</dcterms:created>
  <dcterms:modified xsi:type="dcterms:W3CDTF">2013-06-06T09:05:00Z</dcterms:modified>
</cp:coreProperties>
</file>