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689" w:rsidRPr="00E615BF" w:rsidRDefault="00AB1307" w:rsidP="00E615BF">
      <w:pPr>
        <w:pStyle w:val="papersubtitle"/>
        <w:bidi/>
        <w:rPr>
          <w:i/>
          <w:iCs/>
          <w:sz w:val="48"/>
          <w:szCs w:val="48"/>
          <w:rtl/>
        </w:rPr>
      </w:pPr>
      <w:r w:rsidRPr="00E615BF">
        <w:rPr>
          <w:i/>
          <w:iCs/>
          <w:sz w:val="48"/>
          <w:szCs w:val="48"/>
          <w:rtl/>
        </w:rPr>
        <w:t xml:space="preserve">المؤسسات الخيرية ودورها </w:t>
      </w:r>
    </w:p>
    <w:p w:rsidR="00AB1307" w:rsidRDefault="00BE4AEC" w:rsidP="00E615BF">
      <w:pPr>
        <w:pStyle w:val="papersubtitle"/>
        <w:bidi/>
        <w:rPr>
          <w:i/>
          <w:iCs/>
          <w:rtl/>
        </w:rPr>
      </w:pPr>
      <w:r>
        <w:rPr>
          <w:i/>
          <w:iCs/>
          <w:rtl/>
        </w:rPr>
        <w:t xml:space="preserve">بحث في أصول الدعوة وطرقها </w:t>
      </w:r>
    </w:p>
    <w:p w:rsidR="00E615BF" w:rsidRDefault="00E615BF" w:rsidP="00E615BF">
      <w:pPr>
        <w:pStyle w:val="papersubtitle"/>
        <w:bidi/>
        <w:rPr>
          <w:i/>
          <w:iCs/>
          <w:rtl/>
        </w:rPr>
      </w:pPr>
    </w:p>
    <w:p w:rsidR="00E615BF" w:rsidRPr="00CC0593" w:rsidRDefault="00E615BF" w:rsidP="00E615BF">
      <w:pPr>
        <w:pStyle w:val="Affiliation"/>
        <w:bidi/>
        <w:rPr>
          <w:i/>
          <w:iCs/>
          <w:rtl/>
        </w:rPr>
      </w:pPr>
      <w:r w:rsidRPr="00CC0593">
        <w:rPr>
          <w:i/>
          <w:iCs/>
          <w:rtl/>
        </w:rPr>
        <w:t>أ</w:t>
      </w:r>
      <w:r w:rsidRPr="00CC0593">
        <w:rPr>
          <w:rFonts w:hint="cs"/>
          <w:i/>
          <w:iCs/>
          <w:rtl/>
        </w:rPr>
        <w:t>نس بوابرين</w:t>
      </w:r>
    </w:p>
    <w:p w:rsidR="00E615BF" w:rsidRPr="00CC0593" w:rsidRDefault="00E615BF" w:rsidP="00E615BF">
      <w:pPr>
        <w:pStyle w:val="Affiliation"/>
        <w:bidi/>
        <w:rPr>
          <w:i/>
          <w:iCs/>
          <w:rtl/>
        </w:rPr>
      </w:pPr>
      <w:r w:rsidRPr="00CC0593">
        <w:rPr>
          <w:i/>
          <w:iCs/>
          <w:rtl/>
        </w:rPr>
        <w:t xml:space="preserve">قسم الدعوة واصول الدين </w:t>
      </w:r>
    </w:p>
    <w:p w:rsidR="00E615BF" w:rsidRPr="00CC0593" w:rsidRDefault="00E615BF" w:rsidP="00E615BF">
      <w:pPr>
        <w:pStyle w:val="Affiliation"/>
        <w:bidi/>
        <w:rPr>
          <w:i/>
          <w:iCs/>
          <w:rtl/>
        </w:rPr>
      </w:pPr>
      <w:r w:rsidRPr="00CC0593">
        <w:rPr>
          <w:i/>
          <w:iCs/>
          <w:rtl/>
        </w:rPr>
        <w:t xml:space="preserve">كلية العلوم الاسلامية – جامعة المدينة العالمية </w:t>
      </w:r>
    </w:p>
    <w:p w:rsidR="00E615BF" w:rsidRPr="00CC0593" w:rsidRDefault="00E615BF" w:rsidP="00E615BF">
      <w:pPr>
        <w:pStyle w:val="Affiliation"/>
        <w:bidi/>
        <w:rPr>
          <w:i/>
          <w:iCs/>
          <w:rtl/>
        </w:rPr>
      </w:pPr>
      <w:r w:rsidRPr="00CC0593">
        <w:rPr>
          <w:i/>
          <w:iCs/>
          <w:rtl/>
        </w:rPr>
        <w:t xml:space="preserve">شاه علم- ماليزيا </w:t>
      </w:r>
    </w:p>
    <w:p w:rsidR="00E615BF" w:rsidRPr="00CC0593" w:rsidRDefault="00E615BF" w:rsidP="00E615BF">
      <w:pPr>
        <w:pStyle w:val="Affiliation"/>
        <w:bidi/>
        <w:rPr>
          <w:i/>
          <w:iCs/>
          <w:rtl/>
        </w:rPr>
      </w:pPr>
      <w:r w:rsidRPr="00CC0593">
        <w:rPr>
          <w:i/>
          <w:iCs/>
        </w:rPr>
        <w:t>AB839@lms.mediu.edu.my</w:t>
      </w:r>
      <w:r w:rsidRPr="00CC0593">
        <w:rPr>
          <w:i/>
          <w:iCs/>
          <w:rtl/>
        </w:rPr>
        <w:t xml:space="preserve">  </w:t>
      </w:r>
    </w:p>
    <w:p w:rsidR="00E615BF" w:rsidRDefault="00E615BF" w:rsidP="00AB1307">
      <w:pPr>
        <w:bidi/>
        <w:jc w:val="center"/>
        <w:rPr>
          <w:rtl/>
        </w:rPr>
      </w:pPr>
    </w:p>
    <w:p w:rsidR="00E615BF" w:rsidRDefault="00E615BF" w:rsidP="00E615BF">
      <w:pPr>
        <w:bidi/>
        <w:jc w:val="center"/>
        <w:rPr>
          <w:rtl/>
        </w:rPr>
      </w:pPr>
    </w:p>
    <w:p w:rsidR="00E615BF" w:rsidRDefault="00E615BF" w:rsidP="00E615BF">
      <w:pPr>
        <w:bidi/>
        <w:jc w:val="center"/>
        <w:rPr>
          <w:rtl/>
        </w:rPr>
      </w:pPr>
    </w:p>
    <w:p w:rsidR="00E615BF" w:rsidRDefault="00E615BF" w:rsidP="00E615BF">
      <w:pPr>
        <w:bidi/>
        <w:jc w:val="center"/>
        <w:sectPr w:rsidR="00E615BF" w:rsidSect="00E615BF">
          <w:pgSz w:w="11906" w:h="16838"/>
          <w:pgMar w:top="1440" w:right="1800" w:bottom="1440" w:left="1800" w:header="708" w:footer="708" w:gutter="0"/>
          <w:cols w:space="708"/>
          <w:docGrid w:linePitch="360"/>
        </w:sectPr>
      </w:pPr>
    </w:p>
    <w:p w:rsidR="00AB1307" w:rsidRPr="00996308" w:rsidRDefault="00AB1307" w:rsidP="00AB1307">
      <w:pPr>
        <w:bidi/>
        <w:jc w:val="center"/>
        <w:rPr>
          <w:rFonts w:ascii="Times New Roman" w:eastAsia="Times New Roman" w:hAnsi="Times New Roman" w:cs="Times New Roman"/>
          <w:b/>
          <w:bCs/>
          <w:sz w:val="18"/>
          <w:szCs w:val="18"/>
          <w:rtl/>
          <w:lang w:val="en-US" w:eastAsia="zh-CN"/>
        </w:rPr>
      </w:pPr>
      <w:r w:rsidRPr="00996308">
        <w:rPr>
          <w:rFonts w:ascii="Times New Roman" w:eastAsia="Times New Roman" w:hAnsi="Times New Roman" w:cs="Times New Roman"/>
          <w:b/>
          <w:bCs/>
          <w:sz w:val="18"/>
          <w:szCs w:val="18"/>
          <w:rtl/>
          <w:lang w:val="en-US" w:eastAsia="zh-CN"/>
        </w:rPr>
        <w:lastRenderedPageBreak/>
        <w:t xml:space="preserve">  </w:t>
      </w:r>
    </w:p>
    <w:p w:rsidR="00AB1307" w:rsidRPr="00E615BF" w:rsidRDefault="00AB1307" w:rsidP="00530F9E">
      <w:pPr>
        <w:bidi/>
        <w:jc w:val="both"/>
        <w:rPr>
          <w:rFonts w:ascii="Times New Roman" w:eastAsia="Times New Roman" w:hAnsi="Times New Roman" w:cs="Times New Roman"/>
          <w:b/>
          <w:bCs/>
          <w:sz w:val="18"/>
          <w:szCs w:val="18"/>
          <w:rtl/>
          <w:lang w:val="en-US" w:eastAsia="zh-CN"/>
        </w:rPr>
      </w:pPr>
      <w:r w:rsidRPr="00E615BF">
        <w:rPr>
          <w:rFonts w:ascii="Times New Roman" w:eastAsia="Times New Roman" w:hAnsi="Times New Roman" w:cs="Times New Roman"/>
          <w:b/>
          <w:bCs/>
          <w:sz w:val="18"/>
          <w:szCs w:val="18"/>
          <w:rtl/>
          <w:lang w:val="en-US" w:eastAsia="zh-CN"/>
        </w:rPr>
        <w:t>خلاصة هذا البحث:هذا البحث الذي بين ايدينا يبحث في  موضوع انشاء المؤسسات الخيرية والغاية من انشائها ويبين اهمية هذه المؤسسات في التكافل الاجتماعي .</w:t>
      </w:r>
    </w:p>
    <w:p w:rsidR="00AB1307" w:rsidRPr="00E615BF" w:rsidRDefault="00AB1307" w:rsidP="00AB1307">
      <w:pPr>
        <w:bidi/>
        <w:rPr>
          <w:rFonts w:ascii="Times New Roman" w:eastAsia="Times New Roman" w:hAnsi="Times New Roman" w:cs="Times New Roman"/>
          <w:b/>
          <w:bCs/>
          <w:sz w:val="18"/>
          <w:szCs w:val="18"/>
          <w:rtl/>
          <w:lang w:val="en-US" w:eastAsia="zh-CN"/>
        </w:rPr>
      </w:pPr>
      <w:r w:rsidRPr="00E615BF">
        <w:rPr>
          <w:rFonts w:ascii="Times New Roman" w:eastAsia="Times New Roman" w:hAnsi="Times New Roman" w:cs="Times New Roman"/>
          <w:b/>
          <w:bCs/>
          <w:sz w:val="18"/>
          <w:szCs w:val="18"/>
          <w:rtl/>
          <w:lang w:val="en-US" w:eastAsia="zh-CN"/>
        </w:rPr>
        <w:t xml:space="preserve">الكلمات المفتاحية:مؤسسة خيرية – المواساة – الاغاثة –الوقف </w:t>
      </w:r>
    </w:p>
    <w:p w:rsidR="00AB1307" w:rsidRPr="00996308" w:rsidRDefault="00AB1307" w:rsidP="00AB1307">
      <w:pPr>
        <w:bidi/>
        <w:jc w:val="center"/>
        <w:rPr>
          <w:rFonts w:ascii="Times New Roman" w:eastAsia="Times New Roman" w:hAnsi="Times New Roman" w:cs="Times New Roman"/>
          <w:b/>
          <w:bCs/>
          <w:sz w:val="18"/>
          <w:szCs w:val="18"/>
          <w:rtl/>
          <w:lang w:val="en-US" w:eastAsia="zh-CN"/>
        </w:rPr>
      </w:pPr>
      <w:r w:rsidRPr="00996308">
        <w:rPr>
          <w:rFonts w:ascii="Times New Roman" w:eastAsia="Times New Roman" w:hAnsi="Times New Roman" w:cs="Times New Roman"/>
          <w:b/>
          <w:bCs/>
          <w:sz w:val="18"/>
          <w:szCs w:val="18"/>
          <w:lang w:val="en-US" w:eastAsia="zh-CN"/>
        </w:rPr>
        <w:t xml:space="preserve">I </w:t>
      </w:r>
      <w:r w:rsidRPr="00996308">
        <w:rPr>
          <w:rFonts w:ascii="Times New Roman" w:eastAsia="Times New Roman" w:hAnsi="Times New Roman" w:cs="Times New Roman"/>
          <w:b/>
          <w:bCs/>
          <w:sz w:val="18"/>
          <w:szCs w:val="18"/>
          <w:rtl/>
          <w:lang w:val="en-US" w:eastAsia="zh-CN"/>
        </w:rPr>
        <w:t>ـالمقدمة</w:t>
      </w:r>
    </w:p>
    <w:p w:rsidR="00AB1307" w:rsidRPr="00996308" w:rsidRDefault="00AB1307" w:rsidP="00530F9E">
      <w:pPr>
        <w:bidi/>
        <w:jc w:val="both"/>
        <w:rPr>
          <w:rFonts w:ascii="Times New Roman" w:eastAsia="Times New Roman" w:hAnsi="Times New Roman" w:cs="Times New Roman"/>
          <w:b/>
          <w:bCs/>
          <w:sz w:val="18"/>
          <w:szCs w:val="18"/>
          <w:rtl/>
          <w:lang w:val="en-US" w:eastAsia="zh-CN"/>
        </w:rPr>
      </w:pPr>
      <w:r w:rsidRPr="00996308">
        <w:rPr>
          <w:rFonts w:ascii="Times New Roman" w:eastAsia="Times New Roman" w:hAnsi="Times New Roman" w:cs="Times New Roman"/>
          <w:b/>
          <w:bCs/>
          <w:sz w:val="18"/>
          <w:szCs w:val="18"/>
          <w:rtl/>
          <w:lang w:val="en-US" w:eastAsia="zh-CN"/>
        </w:rPr>
        <w:t>لاشك ان المؤسسات الخيرية تدعم العمل الدعوي  وتؤكد على القيم الاسلامية التي تقوي معاني الامة الواحدة والجسد الواحد وترسخ مفاهيم التعاون والتكافل التي تواردت النصوص بالحث عليه والدعوة اليه .</w:t>
      </w:r>
    </w:p>
    <w:p w:rsidR="00720546" w:rsidRPr="00996308" w:rsidRDefault="00720546" w:rsidP="00720546">
      <w:pPr>
        <w:bidi/>
        <w:jc w:val="center"/>
        <w:rPr>
          <w:rFonts w:ascii="Times New Roman" w:eastAsia="Times New Roman" w:hAnsi="Times New Roman" w:cs="Times New Roman"/>
          <w:b/>
          <w:bCs/>
          <w:sz w:val="18"/>
          <w:szCs w:val="18"/>
          <w:rtl/>
          <w:lang w:val="en-US" w:eastAsia="zh-CN"/>
        </w:rPr>
      </w:pPr>
      <w:r w:rsidRPr="00996308">
        <w:rPr>
          <w:rFonts w:ascii="Times New Roman" w:eastAsia="Times New Roman" w:hAnsi="Times New Roman" w:cs="Times New Roman"/>
          <w:b/>
          <w:bCs/>
          <w:sz w:val="18"/>
          <w:szCs w:val="18"/>
          <w:lang w:val="en-US" w:eastAsia="zh-CN"/>
        </w:rPr>
        <w:t>II</w:t>
      </w:r>
      <w:r w:rsidRPr="00996308">
        <w:rPr>
          <w:rFonts w:ascii="Times New Roman" w:eastAsia="Times New Roman" w:hAnsi="Times New Roman" w:cs="Times New Roman"/>
          <w:b/>
          <w:bCs/>
          <w:sz w:val="18"/>
          <w:szCs w:val="18"/>
          <w:rtl/>
          <w:lang w:val="en-US" w:eastAsia="zh-CN"/>
        </w:rPr>
        <w:t>- موضوع المقالة</w:t>
      </w:r>
    </w:p>
    <w:p w:rsidR="00720546" w:rsidRPr="00996308" w:rsidRDefault="00720546" w:rsidP="00720546">
      <w:pPr>
        <w:bidi/>
        <w:jc w:val="center"/>
        <w:rPr>
          <w:rFonts w:ascii="Times New Roman" w:eastAsia="Times New Roman" w:hAnsi="Times New Roman" w:cs="Times New Roman"/>
          <w:b/>
          <w:bCs/>
          <w:sz w:val="18"/>
          <w:szCs w:val="18"/>
          <w:rtl/>
          <w:lang w:val="en-US" w:eastAsia="zh-CN"/>
        </w:rPr>
      </w:pPr>
    </w:p>
    <w:p w:rsidR="00AB1307" w:rsidRPr="00996308" w:rsidRDefault="00720546" w:rsidP="00530F9E">
      <w:pPr>
        <w:bidi/>
        <w:jc w:val="both"/>
        <w:rPr>
          <w:rFonts w:ascii="Times New Roman" w:eastAsia="Times New Roman" w:hAnsi="Times New Roman" w:cs="Times New Roman"/>
          <w:b/>
          <w:bCs/>
          <w:sz w:val="18"/>
          <w:szCs w:val="18"/>
          <w:rtl/>
          <w:lang w:val="en-US" w:eastAsia="zh-CN"/>
        </w:rPr>
      </w:pPr>
      <w:r w:rsidRPr="00996308">
        <w:rPr>
          <w:rFonts w:ascii="Times New Roman" w:eastAsia="Times New Roman" w:hAnsi="Times New Roman" w:cs="Times New Roman"/>
          <w:b/>
          <w:bCs/>
          <w:sz w:val="18"/>
          <w:szCs w:val="18"/>
          <w:rtl/>
          <w:lang w:val="en-US" w:eastAsia="zh-CN"/>
        </w:rPr>
        <w:t>يمثل العمل الخيري قيمة إنسانية كبرى تتمثل في العطاء والبذل بكل أشكاله، فهو سلوك ديني وحضاري حي لا يمكنه النمو سوى في المجتمعات التي تنعم بمستويات متقدمة من التدين  والمسؤولية، فهو يلعب دورا مهما وإيجابيا في تطوير المجتمعات وتنميتها فمن خلال المؤسسات التطوعية الخيرية يتاح لكافة الأفراد الفرصة للمساهمة في عمليات البناء الاجتماعي والاقتصادي اللازمة كما يساعد العمل الخيري على تنمية الإحساس بالمسؤولية لدى المشاركين ويشعرهم بقدرتهم على العطاء وتقديم الخبرة والنصيحة في المجال الذي يتميزون فيه.</w:t>
      </w:r>
    </w:p>
    <w:p w:rsidR="00720546" w:rsidRPr="00996308" w:rsidRDefault="00720546" w:rsidP="00530F9E">
      <w:pPr>
        <w:bidi/>
        <w:jc w:val="both"/>
        <w:rPr>
          <w:rFonts w:ascii="Times New Roman" w:eastAsia="Times New Roman" w:hAnsi="Times New Roman" w:cs="Times New Roman"/>
          <w:b/>
          <w:bCs/>
          <w:sz w:val="18"/>
          <w:szCs w:val="18"/>
          <w:rtl/>
          <w:lang w:val="en-US" w:eastAsia="zh-CN"/>
        </w:rPr>
      </w:pPr>
      <w:r w:rsidRPr="00996308">
        <w:rPr>
          <w:rFonts w:ascii="Times New Roman" w:eastAsia="Times New Roman" w:hAnsi="Times New Roman" w:cs="Times New Roman"/>
          <w:b/>
          <w:bCs/>
          <w:sz w:val="18"/>
          <w:szCs w:val="18"/>
          <w:rtl/>
          <w:lang w:val="en-US" w:eastAsia="zh-CN"/>
        </w:rPr>
        <w:t xml:space="preserve">ولقد حفل التراث الإسلامي ابتداء بتأصيل العمل الخيري عقائديا بما ورد من آيات قرآنية وأحاديث نبوية شريفة شواهد تعزز من قيمة العمل الخيري ومنها قوله تعالى :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 ) البقرة (177) وفي هذه الآية تأكيد على اقتران العمل التطوعي بالعبادة ورضى الله سبحانه وتعالى كما أكدت ذلك الأحاديث الو رادة في فضل العمل الخيري وهي كثيرة أيضا ففي حديث رسول الله صلى الله عليه وسلم ( إن لله عبادا اختصهم لقضاء حوائج الناس </w:t>
      </w:r>
      <w:r w:rsidRPr="00996308">
        <w:rPr>
          <w:rFonts w:ascii="Times New Roman" w:eastAsia="Times New Roman" w:hAnsi="Times New Roman" w:cs="Times New Roman"/>
          <w:b/>
          <w:bCs/>
          <w:sz w:val="18"/>
          <w:szCs w:val="18"/>
          <w:rtl/>
          <w:lang w:val="en-US" w:eastAsia="zh-CN"/>
        </w:rPr>
        <w:lastRenderedPageBreak/>
        <w:t>حببهم للخير وحبب الخير إليهم أولئك الناجون من عذاب يوم القيامة ) .</w:t>
      </w:r>
    </w:p>
    <w:p w:rsidR="00720546" w:rsidRPr="00996308" w:rsidRDefault="00720546" w:rsidP="00530F9E">
      <w:pPr>
        <w:bidi/>
        <w:jc w:val="both"/>
        <w:rPr>
          <w:rFonts w:ascii="Times New Roman" w:eastAsia="Times New Roman" w:hAnsi="Times New Roman" w:cs="Times New Roman"/>
          <w:b/>
          <w:bCs/>
          <w:sz w:val="18"/>
          <w:szCs w:val="18"/>
          <w:rtl/>
          <w:lang w:val="en-US" w:eastAsia="zh-CN"/>
        </w:rPr>
      </w:pPr>
      <w:r w:rsidRPr="00996308">
        <w:rPr>
          <w:rFonts w:ascii="Times New Roman" w:eastAsia="Times New Roman" w:hAnsi="Times New Roman" w:cs="Times New Roman"/>
          <w:b/>
          <w:bCs/>
          <w:sz w:val="18"/>
          <w:szCs w:val="18"/>
          <w:rtl/>
          <w:lang w:val="en-US" w:eastAsia="zh-CN"/>
        </w:rPr>
        <w:t>وفي الحديث  (مثل المومنين في توادهم وتراحمهم كمثل الجسد الواحد اذا اشتكى منه عضو تدا</w:t>
      </w:r>
      <w:r w:rsidR="00BE4AEC">
        <w:rPr>
          <w:rFonts w:ascii="Times New Roman" w:eastAsia="Times New Roman" w:hAnsi="Times New Roman" w:cs="Times New Roman"/>
          <w:b/>
          <w:bCs/>
          <w:sz w:val="18"/>
          <w:szCs w:val="18"/>
          <w:rtl/>
          <w:lang w:val="en-US" w:eastAsia="zh-CN"/>
        </w:rPr>
        <w:t xml:space="preserve">عى له سائر الجسد بالسهر والحمى </w:t>
      </w:r>
    </w:p>
    <w:p w:rsidR="00720546" w:rsidRPr="00996308" w:rsidRDefault="00720546" w:rsidP="00530F9E">
      <w:pPr>
        <w:bidi/>
        <w:jc w:val="both"/>
        <w:rPr>
          <w:rFonts w:ascii="Times New Roman" w:eastAsia="Times New Roman" w:hAnsi="Times New Roman" w:cs="Times New Roman"/>
          <w:b/>
          <w:bCs/>
          <w:sz w:val="18"/>
          <w:szCs w:val="18"/>
          <w:rtl/>
          <w:lang w:val="en-US" w:eastAsia="zh-CN"/>
        </w:rPr>
      </w:pPr>
      <w:r w:rsidRPr="00996308">
        <w:rPr>
          <w:rFonts w:ascii="Times New Roman" w:eastAsia="Times New Roman" w:hAnsi="Times New Roman" w:cs="Times New Roman"/>
          <w:b/>
          <w:bCs/>
          <w:sz w:val="18"/>
          <w:szCs w:val="18"/>
          <w:rtl/>
          <w:lang w:val="en-US" w:eastAsia="zh-CN"/>
        </w:rPr>
        <w:t xml:space="preserve">ولذا اجتهد المسلمون في انشاء هذه المؤسسات الخيرية حيث بلغ عددالمغاثين  في السنوات الخمس الاخيرة اكثر من خمس مليون في مؤسسة واحدة مما يبين اهمية هذه الدمؤسسات ودورها البارز في التكافل والمواساة </w:t>
      </w:r>
    </w:p>
    <w:p w:rsidR="00E615BF" w:rsidRPr="00996308" w:rsidRDefault="00720546" w:rsidP="00720546">
      <w:pPr>
        <w:bidi/>
        <w:rPr>
          <w:rFonts w:ascii="Times New Roman" w:eastAsia="Times New Roman" w:hAnsi="Times New Roman" w:cs="Times New Roman"/>
          <w:b/>
          <w:bCs/>
          <w:sz w:val="18"/>
          <w:szCs w:val="18"/>
          <w:rtl/>
          <w:lang w:val="en-US" w:eastAsia="zh-CN"/>
        </w:rPr>
      </w:pPr>
      <w:r w:rsidRPr="00996308">
        <w:rPr>
          <w:rFonts w:ascii="Times New Roman" w:eastAsia="Times New Roman" w:hAnsi="Times New Roman" w:cs="Times New Roman"/>
          <w:b/>
          <w:bCs/>
          <w:sz w:val="18"/>
          <w:szCs w:val="18"/>
          <w:rtl/>
          <w:lang w:val="en-US" w:eastAsia="zh-CN"/>
        </w:rPr>
        <w:t xml:space="preserve"> </w:t>
      </w:r>
    </w:p>
    <w:p w:rsidR="00720546" w:rsidRPr="00996308" w:rsidRDefault="00720546" w:rsidP="00530F9E">
      <w:pPr>
        <w:bidi/>
        <w:jc w:val="center"/>
        <w:rPr>
          <w:rFonts w:ascii="Times New Roman" w:eastAsia="Times New Roman" w:hAnsi="Times New Roman" w:cs="Times New Roman"/>
          <w:b/>
          <w:bCs/>
          <w:sz w:val="18"/>
          <w:szCs w:val="18"/>
          <w:rtl/>
          <w:lang w:val="en-US" w:eastAsia="zh-CN"/>
        </w:rPr>
      </w:pPr>
      <w:r w:rsidRPr="00996308">
        <w:rPr>
          <w:rFonts w:ascii="Times New Roman" w:eastAsia="Times New Roman" w:hAnsi="Times New Roman" w:cs="Times New Roman"/>
          <w:b/>
          <w:bCs/>
          <w:sz w:val="18"/>
          <w:szCs w:val="18"/>
          <w:rtl/>
          <w:lang w:val="en-US" w:eastAsia="zh-CN"/>
        </w:rPr>
        <w:t>المصادر والمراجع</w:t>
      </w:r>
    </w:p>
    <w:p w:rsidR="00BE4AEC" w:rsidRPr="00EB6D73" w:rsidRDefault="00BE4AEC" w:rsidP="00BE4AEC">
      <w:pPr>
        <w:jc w:val="right"/>
        <w:rPr>
          <w:b/>
          <w:bCs/>
          <w:sz w:val="18"/>
          <w:szCs w:val="18"/>
          <w:lang w:val="en-US" w:eastAsia="zh-CN" w:bidi="ar-EG"/>
        </w:rPr>
      </w:pPr>
      <w:r w:rsidRPr="00EB6D73">
        <w:rPr>
          <w:rFonts w:hint="cs"/>
          <w:b/>
          <w:bCs/>
          <w:sz w:val="18"/>
          <w:szCs w:val="18"/>
          <w:rtl/>
          <w:lang w:val="en-US" w:eastAsia="zh-CN"/>
        </w:rPr>
        <w:t xml:space="preserve">1- </w:t>
      </w:r>
      <w:r>
        <w:rPr>
          <w:rFonts w:hint="cs"/>
          <w:b/>
          <w:bCs/>
          <w:sz w:val="18"/>
          <w:szCs w:val="18"/>
          <w:rtl/>
          <w:lang w:val="en-US" w:eastAsia="zh-CN"/>
        </w:rPr>
        <w:t xml:space="preserve">القرطبي، </w:t>
      </w:r>
      <w:r w:rsidRPr="00EB6D73">
        <w:rPr>
          <w:b/>
          <w:bCs/>
          <w:sz w:val="18"/>
          <w:szCs w:val="18"/>
          <w:rtl/>
          <w:lang w:val="en-US" w:eastAsia="zh-CN"/>
        </w:rPr>
        <w:t>أبو العباس القرطبي-"كتاب المفهم لما أشكل من تلخيص صحيح مسلم"-دار السلام</w:t>
      </w:r>
      <w:r w:rsidRPr="00EB6D73">
        <w:rPr>
          <w:rFonts w:hint="cs"/>
          <w:b/>
          <w:bCs/>
          <w:sz w:val="18"/>
          <w:szCs w:val="18"/>
          <w:rtl/>
          <w:lang w:val="en-US" w:eastAsia="zh-CN"/>
        </w:rPr>
        <w:t xml:space="preserve"> </w:t>
      </w:r>
    </w:p>
    <w:p w:rsidR="00BE4AEC" w:rsidRPr="00EB6D73" w:rsidRDefault="00BE4AEC" w:rsidP="00BE4AEC">
      <w:pPr>
        <w:jc w:val="right"/>
        <w:rPr>
          <w:b/>
          <w:bCs/>
          <w:sz w:val="18"/>
          <w:szCs w:val="18"/>
          <w:lang w:val="en-US" w:eastAsia="zh-CN"/>
        </w:rPr>
      </w:pPr>
      <w:r w:rsidRPr="00EB6D73">
        <w:rPr>
          <w:rFonts w:hint="cs"/>
          <w:b/>
          <w:bCs/>
          <w:sz w:val="18"/>
          <w:szCs w:val="18"/>
          <w:rtl/>
          <w:lang w:val="en-US" w:eastAsia="zh-CN"/>
        </w:rPr>
        <w:t xml:space="preserve">2- </w:t>
      </w:r>
      <w:r>
        <w:rPr>
          <w:rFonts w:hint="cs"/>
          <w:b/>
          <w:bCs/>
          <w:sz w:val="18"/>
          <w:szCs w:val="18"/>
          <w:rtl/>
          <w:lang w:val="en-US" w:eastAsia="zh-CN"/>
        </w:rPr>
        <w:t xml:space="preserve">النووي، </w:t>
      </w:r>
      <w:r w:rsidRPr="00EB6D73">
        <w:rPr>
          <w:b/>
          <w:bCs/>
          <w:sz w:val="18"/>
          <w:szCs w:val="18"/>
          <w:rtl/>
          <w:lang w:val="en-US" w:eastAsia="zh-CN"/>
        </w:rPr>
        <w:t>يحيى بن شرف النووي-شرح النووي على صحيح مسلم(،دار الفكر،1667م</w:t>
      </w:r>
    </w:p>
    <w:p w:rsidR="00720546" w:rsidRPr="00996308" w:rsidRDefault="00720546" w:rsidP="00BE4AEC">
      <w:pPr>
        <w:pStyle w:val="ListParagraph"/>
        <w:ind w:left="360"/>
        <w:rPr>
          <w:rFonts w:ascii="Times New Roman" w:eastAsia="Times New Roman" w:hAnsi="Times New Roman" w:cs="Times New Roman"/>
          <w:b/>
          <w:bCs/>
          <w:sz w:val="18"/>
          <w:szCs w:val="18"/>
          <w:lang w:val="en-US" w:eastAsia="zh-CN"/>
        </w:rPr>
      </w:pPr>
    </w:p>
    <w:sectPr w:rsidR="00720546" w:rsidRPr="00996308" w:rsidSect="00E615BF">
      <w:type w:val="continuous"/>
      <w:pgSz w:w="11906" w:h="16838"/>
      <w:pgMar w:top="1440" w:right="1800" w:bottom="1440" w:left="1800" w:header="708" w:footer="708" w:gutter="0"/>
      <w:cols w:num="2" w:space="709"/>
      <w:bidi/>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l‚r –¾’©"/>
    <w:panose1 w:val="02020609040205080304"/>
    <w:charset w:val="80"/>
    <w:family w:val="modern"/>
    <w:pitch w:val="fixed"/>
    <w:sig w:usb0="A00002BF" w:usb1="68C7FCFB" w:usb2="00000010" w:usb3="00000000" w:csb0="0002009F" w:csb1="00000000"/>
  </w:font>
  <w:font w:name="SimSun">
    <w:altName w:val="ËÎÌå"/>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4EB6"/>
    <w:multiLevelType w:val="hybridMultilevel"/>
    <w:tmpl w:val="1E4475EC"/>
    <w:lvl w:ilvl="0" w:tplc="7E4A48DC">
      <w:start w:val="1"/>
      <w:numFmt w:val="decimal"/>
      <w:lvlText w:val="%1."/>
      <w:lvlJc w:val="left"/>
      <w:pPr>
        <w:ind w:left="360" w:hanging="360"/>
      </w:pPr>
      <w:rPr>
        <w:lang w:bidi="ar-SA"/>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1307"/>
    <w:rsid w:val="0047603C"/>
    <w:rsid w:val="00513689"/>
    <w:rsid w:val="00530F9E"/>
    <w:rsid w:val="005A7D89"/>
    <w:rsid w:val="005B637E"/>
    <w:rsid w:val="00702766"/>
    <w:rsid w:val="00720546"/>
    <w:rsid w:val="00996308"/>
    <w:rsid w:val="00A24B31"/>
    <w:rsid w:val="00AB1307"/>
    <w:rsid w:val="00BE4AEC"/>
    <w:rsid w:val="00C467A9"/>
    <w:rsid w:val="00D74BED"/>
    <w:rsid w:val="00E615BF"/>
    <w:rsid w:val="00FE1D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6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AB1307"/>
    <w:rPr>
      <w:b/>
      <w:bCs/>
    </w:rPr>
  </w:style>
  <w:style w:type="character" w:styleId="Hyperlink">
    <w:name w:val="Hyperlink"/>
    <w:basedOn w:val="DefaultParagraphFont"/>
    <w:uiPriority w:val="99"/>
    <w:unhideWhenUsed/>
    <w:rsid w:val="00AB1307"/>
    <w:rPr>
      <w:color w:val="0000FF" w:themeColor="hyperlink"/>
      <w:u w:val="single"/>
    </w:rPr>
  </w:style>
  <w:style w:type="paragraph" w:styleId="ListParagraph">
    <w:name w:val="List Paragraph"/>
    <w:basedOn w:val="Normal"/>
    <w:uiPriority w:val="34"/>
    <w:qFormat/>
    <w:rsid w:val="00720546"/>
    <w:pPr>
      <w:ind w:left="720"/>
      <w:contextualSpacing/>
    </w:pPr>
  </w:style>
  <w:style w:type="paragraph" w:customStyle="1" w:styleId="papersubtitle">
    <w:name w:val="paper subtitle"/>
    <w:rsid w:val="00E615BF"/>
    <w:pPr>
      <w:suppressAutoHyphens/>
      <w:spacing w:after="120" w:line="240" w:lineRule="auto"/>
      <w:jc w:val="center"/>
    </w:pPr>
    <w:rPr>
      <w:rFonts w:ascii="Times New Roman" w:eastAsia="MS Mincho" w:hAnsi="Times New Roman" w:cs="Times New Roman"/>
      <w:sz w:val="28"/>
      <w:szCs w:val="28"/>
      <w:lang w:val="en-US" w:eastAsia="fr-FR"/>
    </w:rPr>
  </w:style>
  <w:style w:type="paragraph" w:customStyle="1" w:styleId="Affiliation">
    <w:name w:val="Affiliation"/>
    <w:rsid w:val="00E615BF"/>
    <w:pPr>
      <w:suppressAutoHyphens/>
      <w:spacing w:after="0" w:line="240" w:lineRule="auto"/>
      <w:jc w:val="center"/>
    </w:pPr>
    <w:rPr>
      <w:rFonts w:ascii="Times New Roman" w:eastAsia="SimSun" w:hAnsi="Times New Roman" w:cs="Times New Roman"/>
      <w:sz w:val="20"/>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2014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vbnjh</dc:creator>
  <cp:lastModifiedBy>Vienna</cp:lastModifiedBy>
  <cp:revision>6</cp:revision>
  <dcterms:created xsi:type="dcterms:W3CDTF">2013-05-20T10:04:00Z</dcterms:created>
  <dcterms:modified xsi:type="dcterms:W3CDTF">2013-06-06T09:27:00Z</dcterms:modified>
</cp:coreProperties>
</file>