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3D6405" w:rsidP="003D6405">
      <w:pPr>
        <w:spacing w:line="240" w:lineRule="auto"/>
        <w:jc w:val="center"/>
        <w:rPr>
          <w:i/>
          <w:iCs/>
          <w:rtl/>
        </w:rPr>
      </w:pPr>
      <w:r w:rsidRPr="003D6405">
        <w:rPr>
          <w:rFonts w:asciiTheme="majorBidi" w:eastAsia="Calibri" w:hAnsiTheme="majorBidi" w:cstheme="majorBidi"/>
          <w:i/>
          <w:iCs/>
          <w:sz w:val="48"/>
          <w:szCs w:val="48"/>
          <w:rtl/>
        </w:rPr>
        <w:t>الجهة التي يجوز لها نقض الحكم</w:t>
      </w:r>
    </w:p>
    <w:p w:rsidR="003D6405" w:rsidRPr="005B4E84" w:rsidRDefault="003D6405" w:rsidP="003D6405">
      <w:pPr>
        <w:pStyle w:val="papersubtitle"/>
        <w:bidi/>
        <w:rPr>
          <w:i/>
          <w:iCs/>
          <w:rtl/>
        </w:rPr>
      </w:pPr>
      <w:r w:rsidRPr="005B4E84">
        <w:rPr>
          <w:i/>
          <w:iCs/>
          <w:rtl/>
        </w:rPr>
        <w:t xml:space="preserve">بحث  فى </w:t>
      </w:r>
      <w:r w:rsidRPr="005B4E84">
        <w:rPr>
          <w:rFonts w:hint="cs"/>
          <w:i/>
          <w:iCs/>
          <w:rtl/>
        </w:rPr>
        <w:t>نظام القضاء</w:t>
      </w:r>
    </w:p>
    <w:p w:rsidR="00716737" w:rsidRDefault="003D6405" w:rsidP="00716737">
      <w:pPr>
        <w:pStyle w:val="papersubtitle"/>
        <w:bidi/>
        <w:rPr>
          <w:i/>
          <w:iCs/>
          <w:sz w:val="24"/>
          <w:szCs w:val="24"/>
        </w:rPr>
      </w:pPr>
      <w:r w:rsidRPr="00FC57AE">
        <w:rPr>
          <w:i/>
          <w:iCs/>
          <w:sz w:val="24"/>
          <w:szCs w:val="24"/>
          <w:rtl/>
        </w:rPr>
        <w:t xml:space="preserve">إعداد </w:t>
      </w:r>
      <w:proofErr w:type="spellStart"/>
      <w:r w:rsidR="00716737">
        <w:rPr>
          <w:rFonts w:hint="cs"/>
          <w:i/>
          <w:iCs/>
          <w:sz w:val="24"/>
          <w:szCs w:val="24"/>
          <w:rtl/>
        </w:rPr>
        <w:t>د/</w:t>
      </w:r>
      <w:proofErr w:type="spellEnd"/>
      <w:r w:rsidR="00716737">
        <w:rPr>
          <w:rFonts w:hint="cs"/>
          <w:i/>
          <w:iCs/>
          <w:sz w:val="24"/>
          <w:szCs w:val="24"/>
          <w:rtl/>
        </w:rPr>
        <w:t xml:space="preserve"> وليد على الطنطاوى</w:t>
      </w:r>
    </w:p>
    <w:p w:rsidR="00716737" w:rsidRDefault="00716737" w:rsidP="00716737">
      <w:pPr>
        <w:pStyle w:val="papersubtitle"/>
        <w:bidi/>
        <w:rPr>
          <w:i/>
          <w:iCs/>
          <w:sz w:val="24"/>
          <w:szCs w:val="24"/>
        </w:rPr>
      </w:pPr>
      <w:r>
        <w:rPr>
          <w:rFonts w:hint="cs"/>
          <w:i/>
          <w:iCs/>
          <w:sz w:val="24"/>
          <w:szCs w:val="24"/>
          <w:rtl/>
        </w:rPr>
        <w:t>قسم الفقه وأصوله</w:t>
      </w:r>
    </w:p>
    <w:p w:rsidR="00716737" w:rsidRDefault="00716737" w:rsidP="00716737">
      <w:pPr>
        <w:pStyle w:val="papersubtitle"/>
        <w:bidi/>
        <w:rPr>
          <w:rFonts w:hint="cs"/>
          <w:i/>
          <w:iCs/>
          <w:sz w:val="24"/>
          <w:szCs w:val="24"/>
          <w:rtl/>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716737" w:rsidRDefault="00716737" w:rsidP="00716737">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716737" w:rsidRDefault="00716737" w:rsidP="00716737">
      <w:pPr>
        <w:jc w:val="center"/>
        <w:rPr>
          <w:b/>
          <w:bCs/>
          <w:sz w:val="18"/>
          <w:szCs w:val="18"/>
          <w:lang w:bidi="ar-EG"/>
        </w:rPr>
      </w:pPr>
      <w:r>
        <w:rPr>
          <w:b/>
          <w:bCs/>
          <w:sz w:val="18"/>
          <w:szCs w:val="18"/>
          <w:lang w:bidi="ar-EG"/>
        </w:rPr>
        <w:t>waleed.eltantawy@mediu.ws</w:t>
      </w:r>
    </w:p>
    <w:p w:rsidR="00716737" w:rsidRDefault="00716737" w:rsidP="00716737">
      <w:pPr>
        <w:jc w:val="center"/>
        <w:rPr>
          <w:b/>
          <w:bCs/>
          <w:sz w:val="18"/>
          <w:szCs w:val="18"/>
          <w:rtl/>
          <w:lang w:bidi="ar-EG"/>
        </w:rPr>
      </w:pPr>
      <w:r>
        <w:rPr>
          <w:b/>
          <w:bCs/>
          <w:sz w:val="18"/>
          <w:szCs w:val="18"/>
          <w:lang w:bidi="ar-EG"/>
        </w:rPr>
        <w:t>waleed_eltantawy@yahoo.com</w:t>
      </w:r>
    </w:p>
    <w:p w:rsidR="003D6405" w:rsidRDefault="003D6405" w:rsidP="00716737">
      <w:pPr>
        <w:pStyle w:val="papersubtitle"/>
        <w:bidi/>
        <w:rPr>
          <w:rFonts w:asciiTheme="majorBidi" w:hAnsiTheme="majorBidi" w:cstheme="majorBidi"/>
          <w:b/>
          <w:bCs/>
          <w:sz w:val="18"/>
          <w:szCs w:val="18"/>
          <w:rtl/>
        </w:rPr>
        <w:sectPr w:rsidR="003D6405" w:rsidSect="00BF7572">
          <w:pgSz w:w="11906" w:h="16838"/>
          <w:pgMar w:top="964" w:right="1021" w:bottom="964" w:left="1021" w:header="709" w:footer="709" w:gutter="0"/>
          <w:cols w:space="708"/>
          <w:bidi/>
          <w:rtlGutter/>
          <w:docGrid w:linePitch="360"/>
        </w:sectPr>
      </w:pPr>
    </w:p>
    <w:p w:rsidR="003D6405" w:rsidRPr="004D42D5" w:rsidRDefault="003D6405" w:rsidP="004D42D5">
      <w:p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rPr>
        <w:lastRenderedPageBreak/>
        <w:t xml:space="preserve">خلاصة ـــ هذا </w:t>
      </w:r>
      <w:proofErr w:type="gramStart"/>
      <w:r w:rsidRPr="004D42D5">
        <w:rPr>
          <w:rFonts w:asciiTheme="majorBidi" w:hAnsiTheme="majorBidi" w:cstheme="majorBidi"/>
          <w:b/>
          <w:bCs/>
          <w:sz w:val="18"/>
          <w:szCs w:val="18"/>
          <w:rtl/>
        </w:rPr>
        <w:t>البحث</w:t>
      </w:r>
      <w:proofErr w:type="gramEnd"/>
      <w:r w:rsidRPr="004D42D5">
        <w:rPr>
          <w:rFonts w:asciiTheme="majorBidi" w:hAnsiTheme="majorBidi" w:cstheme="majorBidi"/>
          <w:b/>
          <w:bCs/>
          <w:sz w:val="18"/>
          <w:szCs w:val="18"/>
          <w:rtl/>
        </w:rPr>
        <w:t xml:space="preserve"> يبحث في </w:t>
      </w:r>
      <w:r w:rsidRPr="004D42D5">
        <w:rPr>
          <w:rFonts w:asciiTheme="majorBidi" w:eastAsia="Calibri" w:hAnsiTheme="majorBidi" w:cstheme="majorBidi"/>
          <w:b/>
          <w:bCs/>
          <w:sz w:val="18"/>
          <w:szCs w:val="18"/>
          <w:rtl/>
        </w:rPr>
        <w:t>الجهة التي يجوز لها نقض الحكم</w:t>
      </w:r>
    </w:p>
    <w:p w:rsidR="003D6405" w:rsidRPr="004D42D5" w:rsidRDefault="003D6405" w:rsidP="004D42D5">
      <w:p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rPr>
        <w:t xml:space="preserve">الكلمات المفتاحية : الفقهاء ، </w:t>
      </w:r>
      <w:r w:rsidR="005549A4" w:rsidRPr="004D42D5">
        <w:rPr>
          <w:rFonts w:asciiTheme="majorBidi" w:hAnsiTheme="majorBidi" w:cstheme="majorBidi"/>
          <w:b/>
          <w:bCs/>
          <w:spacing w:val="-4"/>
          <w:sz w:val="18"/>
          <w:szCs w:val="18"/>
          <w:rtl/>
        </w:rPr>
        <w:t>القاضي</w:t>
      </w:r>
      <w:r w:rsidR="005549A4" w:rsidRPr="004D42D5">
        <w:rPr>
          <w:rFonts w:asciiTheme="majorBidi" w:hAnsiTheme="majorBidi" w:cstheme="majorBidi"/>
          <w:b/>
          <w:bCs/>
          <w:sz w:val="18"/>
          <w:szCs w:val="18"/>
          <w:rtl/>
        </w:rPr>
        <w:t xml:space="preserve"> </w:t>
      </w:r>
      <w:r w:rsidRPr="004D42D5">
        <w:rPr>
          <w:rFonts w:asciiTheme="majorBidi" w:hAnsiTheme="majorBidi" w:cstheme="majorBidi"/>
          <w:b/>
          <w:bCs/>
          <w:sz w:val="18"/>
          <w:szCs w:val="18"/>
          <w:rtl/>
        </w:rPr>
        <w:t>، القضية</w:t>
      </w:r>
    </w:p>
    <w:p w:rsidR="003D6405" w:rsidRPr="004D42D5" w:rsidRDefault="003D6405" w:rsidP="004D42D5">
      <w:pPr>
        <w:pStyle w:val="a4"/>
        <w:numPr>
          <w:ilvl w:val="0"/>
          <w:numId w:val="1"/>
        </w:numPr>
        <w:spacing w:after="120"/>
        <w:jc w:val="center"/>
        <w:rPr>
          <w:rFonts w:asciiTheme="majorBidi" w:hAnsiTheme="majorBidi" w:cstheme="majorBidi"/>
          <w:b/>
          <w:bCs/>
          <w:sz w:val="18"/>
          <w:szCs w:val="18"/>
          <w:rtl/>
        </w:rPr>
      </w:pPr>
      <w:proofErr w:type="gramStart"/>
      <w:r w:rsidRPr="004D42D5">
        <w:rPr>
          <w:rFonts w:asciiTheme="majorBidi" w:hAnsiTheme="majorBidi" w:cstheme="majorBidi"/>
          <w:b/>
          <w:bCs/>
          <w:sz w:val="18"/>
          <w:szCs w:val="18"/>
          <w:rtl/>
        </w:rPr>
        <w:t>المقدمة</w:t>
      </w:r>
      <w:proofErr w:type="gramEnd"/>
    </w:p>
    <w:p w:rsidR="003D6405" w:rsidRPr="004D42D5" w:rsidRDefault="003D6405" w:rsidP="004D42D5">
      <w:pPr>
        <w:pStyle w:val="a3"/>
        <w:bidi/>
        <w:spacing w:before="0" w:beforeAutospacing="0" w:after="120" w:afterAutospacing="0"/>
        <w:jc w:val="lowKashida"/>
        <w:rPr>
          <w:rFonts w:asciiTheme="majorBidi" w:hAnsiTheme="majorBidi" w:cstheme="majorBidi"/>
          <w:b/>
          <w:bCs/>
          <w:sz w:val="18"/>
          <w:szCs w:val="18"/>
          <w:rtl/>
        </w:rPr>
      </w:pPr>
      <w:r w:rsidRPr="004D42D5">
        <w:rPr>
          <w:rFonts w:asciiTheme="majorBidi" w:hAnsiTheme="majorBidi" w:cstheme="majorBidi"/>
          <w:b/>
          <w:bCs/>
          <w:sz w:val="18"/>
          <w:szCs w:val="18"/>
          <w:rtl/>
        </w:rPr>
        <w:t xml:space="preserve"> </w:t>
      </w:r>
      <w:proofErr w:type="gramStart"/>
      <w:r w:rsidRPr="004D42D5">
        <w:rPr>
          <w:rFonts w:asciiTheme="majorBidi" w:hAnsiTheme="majorBidi" w:cstheme="majorBidi"/>
          <w:b/>
          <w:bCs/>
          <w:sz w:val="18"/>
          <w:szCs w:val="18"/>
          <w:rtl/>
        </w:rPr>
        <w:t>الحمد</w:t>
      </w:r>
      <w:proofErr w:type="gramEnd"/>
      <w:r w:rsidRPr="004D42D5">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4D42D5">
        <w:rPr>
          <w:rFonts w:asciiTheme="majorBidi" w:eastAsia="Calibri" w:hAnsiTheme="majorBidi" w:cstheme="majorBidi"/>
          <w:b/>
          <w:bCs/>
          <w:sz w:val="18"/>
          <w:szCs w:val="18"/>
          <w:rtl/>
        </w:rPr>
        <w:t>الجهة التي يجوز لها نقض الحكم</w:t>
      </w:r>
    </w:p>
    <w:p w:rsidR="003D6405" w:rsidRPr="004D42D5" w:rsidRDefault="003D6405" w:rsidP="004D42D5">
      <w:pPr>
        <w:pStyle w:val="a3"/>
        <w:numPr>
          <w:ilvl w:val="0"/>
          <w:numId w:val="1"/>
        </w:numPr>
        <w:bidi/>
        <w:spacing w:before="0" w:beforeAutospacing="0" w:after="120" w:afterAutospacing="0"/>
        <w:jc w:val="center"/>
        <w:rPr>
          <w:rFonts w:asciiTheme="majorBidi" w:hAnsiTheme="majorBidi" w:cstheme="majorBidi"/>
          <w:b/>
          <w:bCs/>
          <w:sz w:val="18"/>
          <w:szCs w:val="18"/>
        </w:rPr>
      </w:pPr>
      <w:r w:rsidRPr="004D42D5">
        <w:rPr>
          <w:rFonts w:asciiTheme="majorBidi" w:hAnsiTheme="majorBidi" w:cstheme="majorBidi"/>
          <w:b/>
          <w:bCs/>
          <w:sz w:val="18"/>
          <w:szCs w:val="18"/>
          <w:rtl/>
        </w:rPr>
        <w:t>عنوان المقال</w:t>
      </w:r>
    </w:p>
    <w:p w:rsidR="004D42D5" w:rsidRPr="004D42D5" w:rsidRDefault="004D42D5" w:rsidP="004D42D5">
      <w:pPr>
        <w:pStyle w:val="a3"/>
        <w:bidi/>
        <w:spacing w:before="0" w:beforeAutospacing="0" w:after="120" w:afterAutospacing="0"/>
        <w:jc w:val="lowKashida"/>
        <w:rPr>
          <w:rFonts w:asciiTheme="majorBidi" w:hAnsiTheme="majorBidi" w:cstheme="majorBidi"/>
          <w:b/>
          <w:bCs/>
          <w:sz w:val="18"/>
          <w:szCs w:val="18"/>
        </w:rPr>
      </w:pPr>
      <w:r w:rsidRPr="004D42D5">
        <w:rPr>
          <w:rFonts w:asciiTheme="majorBidi" w:hAnsiTheme="majorBidi" w:cstheme="majorBidi"/>
          <w:b/>
          <w:bCs/>
          <w:sz w:val="18"/>
          <w:szCs w:val="18"/>
          <w:rtl/>
        </w:rPr>
        <w:t xml:space="preserve">الحالات التي يجوز فيها نقض الحكم، إمَّا أن ينقضه القاضي الذي أصدره، أو من يُعرض عليه من القضاة؛ كالقاضي الذي يولِّي القضاء، أو يتولّى القضاء بعد غيره، فتعرض عليه أحكام سلفه، أو كالقاضي المكتوب إليه لتنفيذ ذلك الحكم، وإمَّا أن يجمع ولي الأمر عددًا من الفقهاء للنَّظر في حكم بعينه، أصدره من تلحقه الشبهة، فهذا يحتاج إلى تفصيل، أي: هناك قضايا لا ينبغي أن ينقضها إلّا القاضي الذي حكم فيها بنفسه، أو من يُطلَب منه ذلك، في قضايا من الممكن أن ينقضها غير القاضي الذي حكم فيها، وماذا لو أنّ الأمير نفسه أو الوالي أو السلطان هو الذي جمع العلماء, وأمرهم بالنظر في نقض حكم من الأحكام؟ هذه الأمور تحتاج </w:t>
      </w:r>
      <w:proofErr w:type="gramStart"/>
      <w:r w:rsidRPr="004D42D5">
        <w:rPr>
          <w:rFonts w:asciiTheme="majorBidi" w:hAnsiTheme="majorBidi" w:cstheme="majorBidi"/>
          <w:b/>
          <w:bCs/>
          <w:sz w:val="18"/>
          <w:szCs w:val="18"/>
          <w:rtl/>
        </w:rPr>
        <w:t>إلى</w:t>
      </w:r>
      <w:proofErr w:type="gramEnd"/>
      <w:r w:rsidRPr="004D42D5">
        <w:rPr>
          <w:rFonts w:asciiTheme="majorBidi" w:hAnsiTheme="majorBidi" w:cstheme="majorBidi"/>
          <w:b/>
          <w:bCs/>
          <w:sz w:val="18"/>
          <w:szCs w:val="18"/>
          <w:rtl/>
        </w:rPr>
        <w:t xml:space="preserve"> نوع من البسط والتفصيل.</w:t>
      </w:r>
    </w:p>
    <w:p w:rsidR="004D42D5" w:rsidRPr="004D42D5" w:rsidRDefault="004D42D5" w:rsidP="004D42D5">
      <w:pPr>
        <w:pStyle w:val="a3"/>
        <w:bidi/>
        <w:jc w:val="lowKashida"/>
        <w:rPr>
          <w:rFonts w:asciiTheme="majorBidi" w:hAnsiTheme="majorBidi" w:cstheme="majorBidi"/>
          <w:b/>
          <w:bCs/>
          <w:sz w:val="18"/>
          <w:szCs w:val="18"/>
          <w:rtl/>
        </w:rPr>
      </w:pPr>
      <w:r w:rsidRPr="004D42D5">
        <w:rPr>
          <w:rFonts w:asciiTheme="majorBidi" w:hAnsiTheme="majorBidi" w:cstheme="majorBidi"/>
          <w:b/>
          <w:bCs/>
          <w:color w:val="000080"/>
          <w:sz w:val="18"/>
          <w:szCs w:val="18"/>
          <w:rtl/>
        </w:rPr>
        <w:t xml:space="preserve">نقض </w:t>
      </w:r>
      <w:proofErr w:type="gramStart"/>
      <w:r w:rsidRPr="004D42D5">
        <w:rPr>
          <w:rFonts w:asciiTheme="majorBidi" w:hAnsiTheme="majorBidi" w:cstheme="majorBidi"/>
          <w:b/>
          <w:bCs/>
          <w:color w:val="000080"/>
          <w:sz w:val="18"/>
          <w:szCs w:val="18"/>
          <w:rtl/>
        </w:rPr>
        <w:t>القاضي</w:t>
      </w:r>
      <w:proofErr w:type="gramEnd"/>
      <w:r w:rsidRPr="004D42D5">
        <w:rPr>
          <w:rFonts w:asciiTheme="majorBidi" w:hAnsiTheme="majorBidi" w:cstheme="majorBidi"/>
          <w:b/>
          <w:bCs/>
          <w:color w:val="000080"/>
          <w:sz w:val="18"/>
          <w:szCs w:val="18"/>
          <w:rtl/>
        </w:rPr>
        <w:t xml:space="preserve"> أحكام نفسه:</w:t>
      </w:r>
    </w:p>
    <w:p w:rsidR="004D42D5" w:rsidRPr="004D42D5" w:rsidRDefault="004D42D5" w:rsidP="004D42D5">
      <w:pPr>
        <w:pStyle w:val="a3"/>
        <w:bidi/>
        <w:spacing w:before="0" w:beforeAutospacing="0" w:after="120" w:afterAutospacing="0"/>
        <w:jc w:val="lowKashida"/>
        <w:rPr>
          <w:rFonts w:asciiTheme="majorBidi" w:hAnsiTheme="majorBidi" w:cstheme="majorBidi"/>
          <w:b/>
          <w:bCs/>
          <w:sz w:val="18"/>
          <w:szCs w:val="18"/>
          <w:rtl/>
          <w:lang w:bidi="ar-EG"/>
        </w:rPr>
      </w:pPr>
      <w:r w:rsidRPr="004D42D5">
        <w:rPr>
          <w:rFonts w:asciiTheme="majorBidi" w:hAnsiTheme="majorBidi" w:cstheme="majorBidi"/>
          <w:b/>
          <w:bCs/>
          <w:sz w:val="18"/>
          <w:szCs w:val="18"/>
          <w:rtl/>
        </w:rPr>
        <w:t xml:space="preserve"> الأصل أنَّ القاضي إذا حكم فليس له أو لغيره نقض حكمه، إلّا إذا خالف نصًّا من كتاب الله أو سنة رسول الله </w:t>
      </w:r>
      <w:r w:rsidRPr="004D42D5">
        <w:rPr>
          <w:rFonts w:asciiTheme="majorBidi" w:hAnsiTheme="majorBidi" w:cstheme="majorBidi"/>
          <w:b/>
          <w:bCs/>
          <w:position w:val="-4"/>
          <w:sz w:val="18"/>
          <w:szCs w:val="18"/>
        </w:rPr>
        <w:t></w:t>
      </w:r>
      <w:r w:rsidRPr="004D42D5">
        <w:rPr>
          <w:rFonts w:asciiTheme="majorBidi" w:hAnsiTheme="majorBidi" w:cstheme="majorBidi"/>
          <w:b/>
          <w:bCs/>
          <w:sz w:val="18"/>
          <w:szCs w:val="18"/>
          <w:rtl/>
        </w:rPr>
        <w:t xml:space="preserve"> أو إجماعًا، لكنَّ بعض الفقهاء نصوا -كما سبق- على أنه إذا تبيّن له أنّه وَهِمَ في قضائه، أو نسي، أو قضى بخلاف رأيه وهو لا يذكر، ولكن على ما قضى به بعض الفقهاء ولم تكن بينة، فينقضه بنفسه دون غيره، وهذا ما ذهب إليه جمهور الفقهاء، خلافًا للإمام أبي حنيفة الذي يقول بمضي هذا الفصل، ولا يُرجَع فيه. </w:t>
      </w:r>
    </w:p>
    <w:p w:rsidR="004D42D5" w:rsidRPr="004D42D5" w:rsidRDefault="004D42D5" w:rsidP="004D42D5">
      <w:pPr>
        <w:pStyle w:val="a3"/>
        <w:bidi/>
        <w:spacing w:before="0" w:beforeAutospacing="0" w:after="120" w:afterAutospacing="0"/>
        <w:jc w:val="lowKashida"/>
        <w:rPr>
          <w:rFonts w:asciiTheme="majorBidi" w:hAnsiTheme="majorBidi" w:cstheme="majorBidi"/>
          <w:b/>
          <w:bCs/>
          <w:sz w:val="18"/>
          <w:szCs w:val="18"/>
        </w:rPr>
      </w:pPr>
      <w:proofErr w:type="gramStart"/>
      <w:r w:rsidRPr="004D42D5">
        <w:rPr>
          <w:rFonts w:asciiTheme="majorBidi" w:hAnsiTheme="majorBidi" w:cstheme="majorBidi"/>
          <w:b/>
          <w:bCs/>
          <w:sz w:val="18"/>
          <w:szCs w:val="18"/>
          <w:rtl/>
        </w:rPr>
        <w:t>وهنا</w:t>
      </w:r>
      <w:proofErr w:type="gramEnd"/>
      <w:r w:rsidRPr="004D42D5">
        <w:rPr>
          <w:rFonts w:asciiTheme="majorBidi" w:hAnsiTheme="majorBidi" w:cstheme="majorBidi"/>
          <w:b/>
          <w:bCs/>
          <w:sz w:val="18"/>
          <w:szCs w:val="18"/>
          <w:rtl/>
        </w:rPr>
        <w:t xml:space="preserve"> قعَّد الفقهاء قاعدة عامَّة يمكن الاحتكام إليها, وهي: أنَّ كل قضاء لا يعرف خطؤه إلّا من جهته -جهة القاضي الذي حكم في الموضوع- كمخالفته لرأيه السابق؛ فلا ينقضه سواه, ما لم تشهد بينة بذلك فينقضه هو وغيره.</w:t>
      </w:r>
    </w:p>
    <w:p w:rsidR="004D42D5" w:rsidRPr="004D42D5" w:rsidRDefault="004D42D5" w:rsidP="004D42D5">
      <w:pPr>
        <w:pStyle w:val="a3"/>
        <w:bidi/>
        <w:jc w:val="lowKashida"/>
        <w:rPr>
          <w:rFonts w:asciiTheme="majorBidi" w:hAnsiTheme="majorBidi" w:cstheme="majorBidi"/>
          <w:b/>
          <w:bCs/>
          <w:sz w:val="18"/>
          <w:szCs w:val="18"/>
          <w:rtl/>
        </w:rPr>
      </w:pPr>
      <w:r w:rsidRPr="004D42D5">
        <w:rPr>
          <w:rFonts w:asciiTheme="majorBidi" w:hAnsiTheme="majorBidi" w:cstheme="majorBidi"/>
          <w:b/>
          <w:bCs/>
          <w:color w:val="000080"/>
          <w:sz w:val="18"/>
          <w:szCs w:val="18"/>
          <w:rtl/>
        </w:rPr>
        <w:t xml:space="preserve">نقض </w:t>
      </w:r>
      <w:proofErr w:type="gramStart"/>
      <w:r w:rsidRPr="004D42D5">
        <w:rPr>
          <w:rFonts w:asciiTheme="majorBidi" w:hAnsiTheme="majorBidi" w:cstheme="majorBidi"/>
          <w:b/>
          <w:bCs/>
          <w:color w:val="000080"/>
          <w:sz w:val="18"/>
          <w:szCs w:val="18"/>
          <w:rtl/>
        </w:rPr>
        <w:t>القاضي</w:t>
      </w:r>
      <w:proofErr w:type="gramEnd"/>
      <w:r w:rsidRPr="004D42D5">
        <w:rPr>
          <w:rFonts w:asciiTheme="majorBidi" w:hAnsiTheme="majorBidi" w:cstheme="majorBidi"/>
          <w:b/>
          <w:bCs/>
          <w:color w:val="000080"/>
          <w:sz w:val="18"/>
          <w:szCs w:val="18"/>
          <w:rtl/>
        </w:rPr>
        <w:t xml:space="preserve"> أحكام غيره:</w:t>
      </w:r>
    </w:p>
    <w:p w:rsidR="004D42D5" w:rsidRPr="004D42D5" w:rsidRDefault="004D42D5" w:rsidP="004D42D5">
      <w:pPr>
        <w:pStyle w:val="a3"/>
        <w:bidi/>
        <w:spacing w:before="0" w:beforeAutospacing="0" w:after="120" w:afterAutospacing="0"/>
        <w:jc w:val="lowKashida"/>
        <w:rPr>
          <w:rFonts w:asciiTheme="majorBidi" w:hAnsiTheme="majorBidi" w:cstheme="majorBidi"/>
          <w:b/>
          <w:bCs/>
          <w:sz w:val="18"/>
          <w:szCs w:val="18"/>
        </w:rPr>
      </w:pPr>
      <w:r w:rsidRPr="004D42D5">
        <w:rPr>
          <w:rFonts w:asciiTheme="majorBidi" w:hAnsiTheme="majorBidi" w:cstheme="majorBidi"/>
          <w:b/>
          <w:bCs/>
          <w:sz w:val="18"/>
          <w:szCs w:val="18"/>
          <w:rtl/>
        </w:rPr>
        <w:t>ليس على القاضي أن يتتبع قضاء من كان قبله، أي: ليس مطالبًا ولا من شأنه، بل وليس من الأدب أن ينظر في القضايا التي حكم فيها القاضي السابق، محاول</w:t>
      </w:r>
      <w:r w:rsidRPr="004D42D5">
        <w:rPr>
          <w:rFonts w:asciiTheme="majorBidi" w:hAnsiTheme="majorBidi" w:cstheme="majorBidi"/>
          <w:b/>
          <w:bCs/>
          <w:sz w:val="18"/>
          <w:szCs w:val="18"/>
          <w:rtl/>
          <w:lang w:bidi="ar-EG"/>
        </w:rPr>
        <w:t>ًا</w:t>
      </w:r>
      <w:r w:rsidRPr="004D42D5">
        <w:rPr>
          <w:rFonts w:asciiTheme="majorBidi" w:hAnsiTheme="majorBidi" w:cstheme="majorBidi"/>
          <w:b/>
          <w:bCs/>
          <w:sz w:val="18"/>
          <w:szCs w:val="18"/>
          <w:rtl/>
        </w:rPr>
        <w:t xml:space="preserve"> أن ينقضها، هذا خطأ؛ لأن أحكام القاضي السابق عليه الظاهر صحتها، ما لم يظهر خلاف ذلك، لكن إن وجد فيها مخالفة صريحة</w:t>
      </w:r>
      <w:r w:rsidRPr="004D42D5">
        <w:rPr>
          <w:rFonts w:asciiTheme="majorBidi" w:hAnsiTheme="majorBidi" w:cstheme="majorBidi"/>
          <w:b/>
          <w:bCs/>
          <w:sz w:val="18"/>
          <w:szCs w:val="18"/>
          <w:rtl/>
          <w:lang w:bidi="ar-EG"/>
        </w:rPr>
        <w:t>؛</w:t>
      </w:r>
      <w:r w:rsidRPr="004D42D5">
        <w:rPr>
          <w:rFonts w:asciiTheme="majorBidi" w:hAnsiTheme="majorBidi" w:cstheme="majorBidi"/>
          <w:b/>
          <w:bCs/>
          <w:sz w:val="18"/>
          <w:szCs w:val="18"/>
          <w:rtl/>
        </w:rPr>
        <w:t xml:space="preserve"> أي: مخالفة بينة واضحة لكتاب الله أو لسنة رسول الله </w:t>
      </w:r>
      <w:r w:rsidRPr="004D42D5">
        <w:rPr>
          <w:rFonts w:asciiTheme="majorBidi" w:hAnsiTheme="majorBidi" w:cstheme="majorBidi"/>
          <w:b/>
          <w:bCs/>
          <w:position w:val="-4"/>
          <w:sz w:val="18"/>
          <w:szCs w:val="18"/>
        </w:rPr>
        <w:t></w:t>
      </w:r>
      <w:r w:rsidRPr="004D42D5">
        <w:rPr>
          <w:rFonts w:asciiTheme="majorBidi" w:hAnsiTheme="majorBidi" w:cstheme="majorBidi"/>
          <w:b/>
          <w:bCs/>
          <w:sz w:val="18"/>
          <w:szCs w:val="18"/>
          <w:rtl/>
        </w:rPr>
        <w:t xml:space="preserve"> أو للإجماع نقضها. والقاعدة التي قعدها الفقهاء وجمعوا بها جزئيات هذا الموضوع؛ أنَّ ما نقض به قضاء نفسه نقض به قضاء غيره، وما لا فلا، أي: وما لا ينقض به قضاء نفسه لا ينقض به قضاء غيره، ولا فرق بينهما.</w:t>
      </w:r>
    </w:p>
    <w:p w:rsidR="004D42D5" w:rsidRPr="004D42D5" w:rsidRDefault="004D42D5" w:rsidP="004D42D5">
      <w:pPr>
        <w:pStyle w:val="a3"/>
        <w:bidi/>
        <w:jc w:val="lowKashida"/>
        <w:rPr>
          <w:rFonts w:asciiTheme="majorBidi" w:hAnsiTheme="majorBidi" w:cstheme="majorBidi"/>
          <w:b/>
          <w:bCs/>
          <w:color w:val="000080"/>
          <w:sz w:val="18"/>
          <w:szCs w:val="18"/>
          <w:rtl/>
        </w:rPr>
      </w:pPr>
      <w:r w:rsidRPr="004D42D5">
        <w:rPr>
          <w:rFonts w:asciiTheme="majorBidi" w:hAnsiTheme="majorBidi" w:cstheme="majorBidi"/>
          <w:b/>
          <w:bCs/>
          <w:color w:val="000080"/>
          <w:sz w:val="18"/>
          <w:szCs w:val="18"/>
          <w:rtl/>
        </w:rPr>
        <w:t xml:space="preserve">نقض الأمير والفقهاء حُكْمَ القاضي: </w:t>
      </w:r>
    </w:p>
    <w:p w:rsidR="004D42D5" w:rsidRPr="004D42D5" w:rsidRDefault="004D42D5" w:rsidP="004D42D5">
      <w:pPr>
        <w:pStyle w:val="a3"/>
        <w:bidi/>
        <w:spacing w:before="0" w:beforeAutospacing="0" w:after="120" w:afterAutospacing="0"/>
        <w:jc w:val="lowKashida"/>
        <w:rPr>
          <w:rFonts w:asciiTheme="majorBidi" w:hAnsiTheme="majorBidi" w:cstheme="majorBidi"/>
          <w:b/>
          <w:bCs/>
          <w:sz w:val="18"/>
          <w:szCs w:val="18"/>
        </w:rPr>
      </w:pPr>
      <w:r w:rsidRPr="004D42D5">
        <w:rPr>
          <w:rFonts w:asciiTheme="majorBidi" w:hAnsiTheme="majorBidi" w:cstheme="majorBidi"/>
          <w:b/>
          <w:bCs/>
          <w:sz w:val="18"/>
          <w:szCs w:val="18"/>
          <w:rtl/>
        </w:rPr>
        <w:t>الواقع أنَّ الحنفية والمالكية على أنه يجوز في بعض الأحوال جمع الفقهاء للنظر في حكم القاضي، فقد جاء في (تبصرة الحكام) لابن فرحون، قال مطرَّف: "وإذا اشتُكِيَ على القاضي في قضية حكم بها، ورُفع ذلك إلى الأمير، فإن كان القاضي مأمونًا في أحكامه، عدلًا في أحواله، بصيرًا بقضائه، فأرى ألَّا يعرض له الأمير في ذلك، ولا يقبل شكوى من شكاه، ولا يُجلِس الفقهاء للنظر في قضائه؛ فإن ذلك من الخطأ إن فعله، ومن الفقهاء إذا تابعوه على ذلك، وإن كان عنده متهمًا في أحكامه، أو غير عدل في حاله، أو جاهلًا بقضائه؛ فليعزله ويولِّ غيره".</w:t>
      </w:r>
    </w:p>
    <w:p w:rsidR="004D42D5" w:rsidRPr="004D42D5" w:rsidRDefault="004D42D5" w:rsidP="004D42D5">
      <w:pPr>
        <w:pStyle w:val="a3"/>
        <w:bidi/>
        <w:jc w:val="lowKashida"/>
        <w:rPr>
          <w:rFonts w:asciiTheme="majorBidi" w:hAnsiTheme="majorBidi" w:cstheme="majorBidi"/>
          <w:b/>
          <w:bCs/>
          <w:spacing w:val="-4"/>
          <w:sz w:val="18"/>
          <w:szCs w:val="18"/>
        </w:rPr>
      </w:pPr>
      <w:r w:rsidRPr="004D42D5">
        <w:rPr>
          <w:rFonts w:asciiTheme="majorBidi" w:hAnsiTheme="majorBidi" w:cstheme="majorBidi"/>
          <w:b/>
          <w:bCs/>
          <w:spacing w:val="-4"/>
          <w:sz w:val="18"/>
          <w:szCs w:val="18"/>
          <w:rtl/>
        </w:rPr>
        <w:lastRenderedPageBreak/>
        <w:t xml:space="preserve">وقال مطرف: ولو جهل الأمير فأجلس فقهاء بلده، وأمرهم بالنظر في تلك الحكومة، وجهلوا هم أيضًا أو أُكرهوا على النظر فنظروا, فرأوا فسخ ذلك الحكم، ففسخه الأمير أو رد قضيته إلى ما رأى الفقهاء، فأرى لمن نظر في هذا بعد ذلك، أن ينظر في الحكم الأول، فإن كان صوابًا لا اختلاف فيه، أو كان مما اختُلِفَ أو اخَتَلف فيه أهل العلم، أو مما اختلف فيه الأئمة الماضون، فأخذ القاضي السابق ببعض ذلك؛ فحكمه ماضٍ، والفسخ الذي تكلَّفه الأمير والفقهاء باطل. </w:t>
      </w:r>
      <w:proofErr w:type="gramStart"/>
      <w:r w:rsidRPr="004D42D5">
        <w:rPr>
          <w:rFonts w:asciiTheme="majorBidi" w:hAnsiTheme="majorBidi" w:cstheme="majorBidi"/>
          <w:b/>
          <w:bCs/>
          <w:spacing w:val="-4"/>
          <w:sz w:val="18"/>
          <w:szCs w:val="18"/>
          <w:rtl/>
        </w:rPr>
        <w:t>وإن</w:t>
      </w:r>
      <w:proofErr w:type="gramEnd"/>
      <w:r w:rsidRPr="004D42D5">
        <w:rPr>
          <w:rFonts w:asciiTheme="majorBidi" w:hAnsiTheme="majorBidi" w:cstheme="majorBidi"/>
          <w:b/>
          <w:bCs/>
          <w:spacing w:val="-4"/>
          <w:sz w:val="18"/>
          <w:szCs w:val="18"/>
          <w:rtl/>
        </w:rPr>
        <w:t xml:space="preserve"> كان الحكم الأول خطأ بينًا؛ أمضى فسخه، وأجاز ما فعله الأمير والفقهاء. </w:t>
      </w:r>
      <w:proofErr w:type="gramStart"/>
      <w:r w:rsidRPr="004D42D5">
        <w:rPr>
          <w:rFonts w:asciiTheme="majorBidi" w:hAnsiTheme="majorBidi" w:cstheme="majorBidi"/>
          <w:b/>
          <w:bCs/>
          <w:spacing w:val="-4"/>
          <w:sz w:val="18"/>
          <w:szCs w:val="18"/>
          <w:rtl/>
        </w:rPr>
        <w:t>ولو</w:t>
      </w:r>
      <w:proofErr w:type="gramEnd"/>
      <w:r w:rsidRPr="004D42D5">
        <w:rPr>
          <w:rFonts w:asciiTheme="majorBidi" w:hAnsiTheme="majorBidi" w:cstheme="majorBidi"/>
          <w:b/>
          <w:bCs/>
          <w:spacing w:val="-4"/>
          <w:sz w:val="18"/>
          <w:szCs w:val="18"/>
          <w:rtl/>
        </w:rPr>
        <w:t xml:space="preserve"> كان الحكم الأول خطأً بينًا، أو لعله قد عُرِفَ من القاضي بعض ما لا ينبغي من القضاة، ولكن الأمير لم يعزله، وأراد النظر في تصحيح ذلك الحكم بعينه؛ فحينئذ يجوز للفقهاء النظر فيه. </w:t>
      </w:r>
      <w:proofErr w:type="gramStart"/>
      <w:r w:rsidRPr="004D42D5">
        <w:rPr>
          <w:rFonts w:asciiTheme="majorBidi" w:hAnsiTheme="majorBidi" w:cstheme="majorBidi"/>
          <w:b/>
          <w:bCs/>
          <w:spacing w:val="-4"/>
          <w:sz w:val="18"/>
          <w:szCs w:val="18"/>
          <w:rtl/>
        </w:rPr>
        <w:t>فإذا</w:t>
      </w:r>
      <w:proofErr w:type="gramEnd"/>
      <w:r w:rsidRPr="004D42D5">
        <w:rPr>
          <w:rFonts w:asciiTheme="majorBidi" w:hAnsiTheme="majorBidi" w:cstheme="majorBidi"/>
          <w:b/>
          <w:bCs/>
          <w:spacing w:val="-4"/>
          <w:sz w:val="18"/>
          <w:szCs w:val="18"/>
          <w:rtl/>
        </w:rPr>
        <w:t xml:space="preserve"> تبيَّن لهم أن حكمه خطأ بَيّن؛ فليردُّوه أو فليردَّه. وإن اختلفوا على الأمير، فرأى بعضهم </w:t>
      </w:r>
      <w:proofErr w:type="gramStart"/>
      <w:r w:rsidRPr="004D42D5">
        <w:rPr>
          <w:rFonts w:asciiTheme="majorBidi" w:hAnsiTheme="majorBidi" w:cstheme="majorBidi"/>
          <w:b/>
          <w:bCs/>
          <w:spacing w:val="-4"/>
          <w:sz w:val="18"/>
          <w:szCs w:val="18"/>
          <w:rtl/>
        </w:rPr>
        <w:t>رأيًا</w:t>
      </w:r>
      <w:proofErr w:type="gramEnd"/>
      <w:r w:rsidRPr="004D42D5">
        <w:rPr>
          <w:rFonts w:asciiTheme="majorBidi" w:hAnsiTheme="majorBidi" w:cstheme="majorBidi"/>
          <w:b/>
          <w:bCs/>
          <w:spacing w:val="-4"/>
          <w:sz w:val="18"/>
          <w:szCs w:val="18"/>
          <w:rtl/>
        </w:rPr>
        <w:t xml:space="preserve">، ورأى بعضهم </w:t>
      </w:r>
      <w:proofErr w:type="gramStart"/>
      <w:r w:rsidRPr="004D42D5">
        <w:rPr>
          <w:rFonts w:asciiTheme="majorBidi" w:hAnsiTheme="majorBidi" w:cstheme="majorBidi"/>
          <w:b/>
          <w:bCs/>
          <w:spacing w:val="-4"/>
          <w:sz w:val="18"/>
          <w:szCs w:val="18"/>
          <w:rtl/>
        </w:rPr>
        <w:t>رأيًا</w:t>
      </w:r>
      <w:proofErr w:type="gramEnd"/>
      <w:r w:rsidRPr="004D42D5">
        <w:rPr>
          <w:rFonts w:asciiTheme="majorBidi" w:hAnsiTheme="majorBidi" w:cstheme="majorBidi"/>
          <w:b/>
          <w:bCs/>
          <w:spacing w:val="-4"/>
          <w:sz w:val="18"/>
          <w:szCs w:val="18"/>
          <w:rtl/>
        </w:rPr>
        <w:t xml:space="preserve"> غيره؛ لم يمل مع أكثرهم، ولكن ينظر فيما اختلفوا فيه، فما رآه صوابًا قضى به وأنفذه.</w:t>
      </w:r>
    </w:p>
    <w:p w:rsidR="004D42D5" w:rsidRPr="004D42D5" w:rsidRDefault="004D42D5" w:rsidP="004D42D5">
      <w:pPr>
        <w:pStyle w:val="a3"/>
        <w:bidi/>
        <w:spacing w:before="0" w:beforeAutospacing="0" w:after="120" w:afterAutospacing="0"/>
        <w:jc w:val="lowKashida"/>
        <w:rPr>
          <w:rFonts w:asciiTheme="majorBidi" w:hAnsiTheme="majorBidi" w:cstheme="majorBidi"/>
          <w:b/>
          <w:bCs/>
          <w:spacing w:val="-4"/>
          <w:sz w:val="18"/>
          <w:szCs w:val="18"/>
          <w:rtl/>
        </w:rPr>
      </w:pPr>
      <w:r w:rsidRPr="004D42D5">
        <w:rPr>
          <w:rFonts w:asciiTheme="majorBidi" w:hAnsiTheme="majorBidi" w:cstheme="majorBidi"/>
          <w:b/>
          <w:bCs/>
          <w:spacing w:val="-4"/>
          <w:sz w:val="18"/>
          <w:szCs w:val="18"/>
          <w:rtl/>
        </w:rPr>
        <w:t>وكذلك ينبغي للقاضي أن يفعل إذا اختَلَف عليه المشيرون من الفقهاء، قال مطرف: ولو كان القاضي لم يكن فصل بعْدُ في الخصومة فصلًا، فلما أجلس معه غيره للنظر فيها، وقال: قد حكمت؛ لم يُقبل ذلك منه؛ لأن المنع عن النظر في تلك الحكومة وحدها، فتلزمه بمنزلة ما لو عزل، ثم قال: قد كنت حكمت لفلان على فلان، لم يكن ذلك بقوله، أو لم يُقبل ذلك القول منه إلا ببينة تقوم على ذلك.</w:t>
      </w:r>
    </w:p>
    <w:p w:rsidR="005549A4" w:rsidRPr="004D42D5" w:rsidRDefault="005549A4" w:rsidP="004D42D5">
      <w:pPr>
        <w:spacing w:line="240" w:lineRule="auto"/>
        <w:rPr>
          <w:rFonts w:asciiTheme="majorBidi" w:hAnsiTheme="majorBidi" w:cstheme="majorBidi"/>
          <w:b/>
          <w:bCs/>
          <w:sz w:val="18"/>
          <w:szCs w:val="18"/>
          <w:rtl/>
        </w:rPr>
      </w:pPr>
    </w:p>
    <w:p w:rsidR="003D6405" w:rsidRPr="004D42D5" w:rsidRDefault="003D6405" w:rsidP="004D42D5">
      <w:pPr>
        <w:spacing w:line="240" w:lineRule="auto"/>
        <w:jc w:val="center"/>
        <w:rPr>
          <w:rFonts w:asciiTheme="majorBidi" w:hAnsiTheme="majorBidi" w:cstheme="majorBidi"/>
          <w:b/>
          <w:bCs/>
          <w:sz w:val="18"/>
          <w:szCs w:val="18"/>
          <w:rtl/>
          <w:lang w:bidi="ar-EG"/>
        </w:rPr>
      </w:pPr>
      <w:proofErr w:type="gramStart"/>
      <w:r w:rsidRPr="004D42D5">
        <w:rPr>
          <w:rFonts w:asciiTheme="majorBidi" w:hAnsiTheme="majorBidi" w:cstheme="majorBidi"/>
          <w:b/>
          <w:bCs/>
          <w:sz w:val="18"/>
          <w:szCs w:val="18"/>
          <w:rtl/>
          <w:lang w:bidi="ar-EG"/>
        </w:rPr>
        <w:t>المراجع</w:t>
      </w:r>
      <w:proofErr w:type="gramEnd"/>
      <w:r w:rsidRPr="004D42D5">
        <w:rPr>
          <w:rFonts w:asciiTheme="majorBidi" w:hAnsiTheme="majorBidi" w:cstheme="majorBidi"/>
          <w:b/>
          <w:bCs/>
          <w:sz w:val="18"/>
          <w:szCs w:val="18"/>
          <w:rtl/>
          <w:lang w:bidi="ar-EG"/>
        </w:rPr>
        <w:t xml:space="preserve"> والمصادر</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rPr>
        <w:t xml:space="preserve">عثمان، محمد رأفت عثمان،  (النظام القضائي في الفقه </w:t>
      </w:r>
      <w:proofErr w:type="gramStart"/>
      <w:r w:rsidRPr="004D42D5">
        <w:rPr>
          <w:rFonts w:asciiTheme="majorBidi" w:hAnsiTheme="majorBidi" w:cstheme="majorBidi"/>
          <w:b/>
          <w:bCs/>
          <w:sz w:val="18"/>
          <w:szCs w:val="18"/>
          <w:rtl/>
        </w:rPr>
        <w:t>الإسلامي) ،</w:t>
      </w:r>
      <w:proofErr w:type="gramEnd"/>
      <w:r w:rsidRPr="004D42D5">
        <w:rPr>
          <w:rFonts w:asciiTheme="majorBidi" w:hAnsiTheme="majorBidi" w:cstheme="majorBidi"/>
          <w:b/>
          <w:bCs/>
          <w:sz w:val="18"/>
          <w:szCs w:val="18"/>
          <w:rtl/>
        </w:rPr>
        <w:t xml:space="preserve"> القاهرة، دار البيان، 1994م.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عزام، عبد العزيز عزام،  </w:t>
      </w:r>
      <w:r w:rsidRPr="004D42D5">
        <w:rPr>
          <w:rFonts w:asciiTheme="majorBidi" w:hAnsiTheme="majorBidi" w:cstheme="majorBidi"/>
          <w:b/>
          <w:bCs/>
          <w:sz w:val="18"/>
          <w:szCs w:val="18"/>
          <w:rtl/>
        </w:rPr>
        <w:t xml:space="preserve">(القضاء في </w:t>
      </w:r>
      <w:proofErr w:type="gramStart"/>
      <w:r w:rsidRPr="004D42D5">
        <w:rPr>
          <w:rFonts w:asciiTheme="majorBidi" w:hAnsiTheme="majorBidi" w:cstheme="majorBidi"/>
          <w:b/>
          <w:bCs/>
          <w:sz w:val="18"/>
          <w:szCs w:val="18"/>
          <w:rtl/>
        </w:rPr>
        <w:t xml:space="preserve">الإسلام) </w:t>
      </w:r>
      <w:r w:rsidRPr="004D42D5">
        <w:rPr>
          <w:rFonts w:asciiTheme="majorBidi" w:hAnsiTheme="majorBidi" w:cstheme="majorBidi"/>
          <w:b/>
          <w:bCs/>
          <w:sz w:val="18"/>
          <w:szCs w:val="18"/>
          <w:rtl/>
          <w:lang w:bidi="ar-EG"/>
        </w:rPr>
        <w:t>،</w:t>
      </w:r>
      <w:proofErr w:type="gramEnd"/>
      <w:r w:rsidRPr="004D42D5">
        <w:rPr>
          <w:rFonts w:asciiTheme="majorBidi" w:hAnsiTheme="majorBidi" w:cstheme="majorBidi"/>
          <w:b/>
          <w:bCs/>
          <w:sz w:val="18"/>
          <w:szCs w:val="18"/>
          <w:rtl/>
          <w:lang w:bidi="ar-EG"/>
        </w:rPr>
        <w:t xml:space="preserve"> دار الكتاب الجامعي، 1977م.</w:t>
      </w:r>
    </w:p>
    <w:p w:rsidR="003D6405" w:rsidRPr="004D42D5" w:rsidRDefault="003D6405" w:rsidP="00FC5D34">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4D42D5">
        <w:rPr>
          <w:rFonts w:asciiTheme="majorBidi" w:hAnsiTheme="majorBidi" w:cstheme="majorBidi"/>
          <w:b/>
          <w:bCs/>
          <w:sz w:val="18"/>
          <w:szCs w:val="18"/>
          <w:rtl/>
        </w:rPr>
        <w:t xml:space="preserve">(أقضية رسول الله) </w:t>
      </w:r>
      <w:r w:rsidRPr="004D42D5">
        <w:rPr>
          <w:rFonts w:asciiTheme="majorBidi" w:hAnsiTheme="majorBidi" w:cstheme="majorBidi"/>
          <w:b/>
          <w:bCs/>
          <w:sz w:val="18"/>
          <w:szCs w:val="18"/>
          <w:rtl/>
          <w:lang w:bidi="ar-EG"/>
        </w:rPr>
        <w:t>، بيروت، دار القلم، 1987م.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اليعمري، ابن فرحون برهان الدين اليعمري،  </w:t>
      </w:r>
      <w:r w:rsidRPr="004D42D5">
        <w:rPr>
          <w:rFonts w:asciiTheme="majorBidi" w:hAnsiTheme="majorBidi" w:cstheme="majorBidi"/>
          <w:b/>
          <w:bCs/>
          <w:sz w:val="18"/>
          <w:szCs w:val="18"/>
          <w:rtl/>
        </w:rPr>
        <w:t>(تبصرة الحكام في أصول الأ</w:t>
      </w:r>
      <w:r w:rsidRPr="004D42D5">
        <w:rPr>
          <w:rFonts w:asciiTheme="majorBidi" w:hAnsiTheme="majorBidi" w:cstheme="majorBidi"/>
          <w:b/>
          <w:bCs/>
          <w:sz w:val="18"/>
          <w:szCs w:val="18"/>
          <w:rtl/>
          <w:lang w:bidi="ar-EG"/>
        </w:rPr>
        <w:t>ق</w:t>
      </w:r>
      <w:r w:rsidRPr="004D42D5">
        <w:rPr>
          <w:rFonts w:asciiTheme="majorBidi" w:hAnsiTheme="majorBidi" w:cstheme="majorBidi"/>
          <w:b/>
          <w:bCs/>
          <w:sz w:val="18"/>
          <w:szCs w:val="18"/>
          <w:rtl/>
        </w:rPr>
        <w:t xml:space="preserve">ضية ومناهج الأحكام) </w:t>
      </w:r>
      <w:r w:rsidRPr="004D42D5">
        <w:rPr>
          <w:rFonts w:asciiTheme="majorBidi" w:hAnsiTheme="majorBidi" w:cstheme="majorBidi"/>
          <w:b/>
          <w:bCs/>
          <w:sz w:val="18"/>
          <w:szCs w:val="18"/>
          <w:rtl/>
          <w:lang w:bidi="ar-EG"/>
        </w:rPr>
        <w:t>، طبعة دار الكتب العلمية، 2003م.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العريفي</w:t>
      </w:r>
      <w:r w:rsidRPr="004D42D5">
        <w:rPr>
          <w:rFonts w:asciiTheme="majorBidi" w:hAnsiTheme="majorBidi" w:cstheme="majorBidi"/>
          <w:b/>
          <w:bCs/>
          <w:sz w:val="18"/>
          <w:szCs w:val="18"/>
          <w:rtl/>
        </w:rPr>
        <w:t xml:space="preserve"> </w:t>
      </w:r>
      <w:r w:rsidRPr="004D42D5">
        <w:rPr>
          <w:rFonts w:asciiTheme="majorBidi" w:hAnsiTheme="majorBidi" w:cstheme="majorBidi"/>
          <w:b/>
          <w:bCs/>
          <w:sz w:val="18"/>
          <w:szCs w:val="18"/>
          <w:rtl/>
          <w:lang w:bidi="ar-EG"/>
        </w:rPr>
        <w:t xml:space="preserve">، سعد بن عبد الله العريفي، </w:t>
      </w:r>
      <w:r w:rsidRPr="004D42D5">
        <w:rPr>
          <w:rFonts w:asciiTheme="majorBidi" w:hAnsiTheme="majorBidi" w:cstheme="majorBidi"/>
          <w:b/>
          <w:bCs/>
          <w:sz w:val="18"/>
          <w:szCs w:val="18"/>
          <w:rtl/>
        </w:rPr>
        <w:t xml:space="preserve"> (الحسبة والسياسة الجنائية في المملكة العربية السعودية) </w:t>
      </w:r>
      <w:r w:rsidRPr="004D42D5">
        <w:rPr>
          <w:rFonts w:asciiTheme="majorBidi" w:hAnsiTheme="majorBidi" w:cstheme="majorBidi"/>
          <w:b/>
          <w:bCs/>
          <w:sz w:val="18"/>
          <w:szCs w:val="18"/>
          <w:rtl/>
          <w:lang w:bidi="ar-EG"/>
        </w:rPr>
        <w:t>، الرياض، مكتبة الرشد، 2002م.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الزحيلي، وهبة الزحيلي،  </w:t>
      </w:r>
      <w:r w:rsidRPr="004D42D5">
        <w:rPr>
          <w:rFonts w:asciiTheme="majorBidi" w:hAnsiTheme="majorBidi" w:cstheme="majorBidi"/>
          <w:b/>
          <w:bCs/>
          <w:sz w:val="18"/>
          <w:szCs w:val="18"/>
          <w:rtl/>
        </w:rPr>
        <w:t xml:space="preserve">(الفقه الإسلامي وأدلته) </w:t>
      </w:r>
      <w:r w:rsidRPr="004D42D5">
        <w:rPr>
          <w:rFonts w:asciiTheme="majorBidi" w:hAnsiTheme="majorBidi" w:cstheme="majorBidi"/>
          <w:b/>
          <w:bCs/>
          <w:sz w:val="18"/>
          <w:szCs w:val="18"/>
          <w:rtl/>
          <w:lang w:bidi="ar-EG"/>
        </w:rPr>
        <w:t>، دار الفكر، 1989م.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مصطفى الزحيلي، محمد مصطفى الزحيلي،  </w:t>
      </w:r>
      <w:r w:rsidRPr="004D42D5">
        <w:rPr>
          <w:rFonts w:asciiTheme="majorBidi" w:hAnsiTheme="majorBidi" w:cstheme="majorBidi"/>
          <w:b/>
          <w:bCs/>
          <w:sz w:val="18"/>
          <w:szCs w:val="18"/>
          <w:rtl/>
        </w:rPr>
        <w:t xml:space="preserve">(التنظيم القضائي في الفقه الإسلامي) </w:t>
      </w:r>
      <w:r w:rsidRPr="004D42D5">
        <w:rPr>
          <w:rFonts w:asciiTheme="majorBidi" w:hAnsiTheme="majorBidi" w:cstheme="majorBidi"/>
          <w:b/>
          <w:bCs/>
          <w:sz w:val="18"/>
          <w:szCs w:val="18"/>
          <w:rtl/>
          <w:lang w:bidi="ar-EG"/>
        </w:rPr>
        <w:t>، دار الفكر، 1982م.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الطريفي، ناصر بن عقيل الطريفي،  </w:t>
      </w:r>
      <w:r w:rsidRPr="004D42D5">
        <w:rPr>
          <w:rFonts w:asciiTheme="majorBidi" w:hAnsiTheme="majorBidi" w:cstheme="majorBidi"/>
          <w:b/>
          <w:bCs/>
          <w:sz w:val="18"/>
          <w:szCs w:val="18"/>
          <w:rtl/>
        </w:rPr>
        <w:t xml:space="preserve">(القضاء في عهد عمر بن الخطاب) </w:t>
      </w:r>
      <w:r w:rsidRPr="004D42D5">
        <w:rPr>
          <w:rFonts w:asciiTheme="majorBidi" w:hAnsiTheme="majorBidi" w:cstheme="majorBidi"/>
          <w:b/>
          <w:bCs/>
          <w:sz w:val="18"/>
          <w:szCs w:val="18"/>
          <w:rtl/>
          <w:lang w:bidi="ar-EG"/>
        </w:rPr>
        <w:t>، الرياض، نشر مكتبة التوبة، 1994م.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الحميضي، عبد الرحمن عبد العزيز الحميضي،  </w:t>
      </w:r>
      <w:r w:rsidRPr="004D42D5">
        <w:rPr>
          <w:rFonts w:asciiTheme="majorBidi" w:hAnsiTheme="majorBidi" w:cstheme="majorBidi"/>
          <w:b/>
          <w:bCs/>
          <w:sz w:val="18"/>
          <w:szCs w:val="18"/>
          <w:rtl/>
        </w:rPr>
        <w:t xml:space="preserve">(القضاء ونظامه في الكتاب والسنة) </w:t>
      </w:r>
      <w:r w:rsidRPr="004D42D5">
        <w:rPr>
          <w:rFonts w:asciiTheme="majorBidi" w:hAnsiTheme="majorBidi" w:cstheme="majorBidi"/>
          <w:b/>
          <w:bCs/>
          <w:sz w:val="18"/>
          <w:szCs w:val="18"/>
          <w:rtl/>
          <w:lang w:bidi="ar-EG"/>
        </w:rPr>
        <w:t>، جامعة أم القرى، 1989م.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lang w:bidi="ar-EG"/>
        </w:rPr>
      </w:pPr>
      <w:r w:rsidRPr="004D42D5">
        <w:rPr>
          <w:rFonts w:asciiTheme="majorBidi" w:hAnsiTheme="majorBidi" w:cstheme="majorBidi"/>
          <w:b/>
          <w:bCs/>
          <w:sz w:val="18"/>
          <w:szCs w:val="18"/>
          <w:rtl/>
          <w:lang w:bidi="ar-EG"/>
        </w:rPr>
        <w:t xml:space="preserve">الكويتية، وزارة الأوقاف الكويتية،  </w:t>
      </w:r>
      <w:r w:rsidRPr="004D42D5">
        <w:rPr>
          <w:rFonts w:asciiTheme="majorBidi" w:hAnsiTheme="majorBidi" w:cstheme="majorBidi"/>
          <w:b/>
          <w:bCs/>
          <w:sz w:val="18"/>
          <w:szCs w:val="18"/>
          <w:rtl/>
        </w:rPr>
        <w:t xml:space="preserve">(الموسوعة الفقهية </w:t>
      </w:r>
      <w:proofErr w:type="gramStart"/>
      <w:r w:rsidRPr="004D42D5">
        <w:rPr>
          <w:rFonts w:asciiTheme="majorBidi" w:hAnsiTheme="majorBidi" w:cstheme="majorBidi"/>
          <w:b/>
          <w:bCs/>
          <w:sz w:val="18"/>
          <w:szCs w:val="18"/>
          <w:rtl/>
        </w:rPr>
        <w:t xml:space="preserve">الكويتية) </w:t>
      </w:r>
      <w:r w:rsidRPr="004D42D5">
        <w:rPr>
          <w:rFonts w:asciiTheme="majorBidi" w:hAnsiTheme="majorBidi" w:cstheme="majorBidi"/>
          <w:b/>
          <w:bCs/>
          <w:sz w:val="18"/>
          <w:szCs w:val="18"/>
          <w:rtl/>
          <w:lang w:bidi="ar-EG"/>
        </w:rPr>
        <w:t>،</w:t>
      </w:r>
      <w:proofErr w:type="gramEnd"/>
      <w:r w:rsidRPr="004D42D5">
        <w:rPr>
          <w:rFonts w:asciiTheme="majorBidi" w:hAnsiTheme="majorBidi" w:cstheme="majorBidi"/>
          <w:b/>
          <w:bCs/>
          <w:sz w:val="18"/>
          <w:szCs w:val="18"/>
          <w:rtl/>
          <w:lang w:bidi="ar-EG"/>
        </w:rPr>
        <w:t xml:space="preserve"> الكويت، طبعة ذات السلاسل، 1995م </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lastRenderedPageBreak/>
        <w:t xml:space="preserve">مليجي، أحمد محمد مليجي،  </w:t>
      </w:r>
      <w:r w:rsidRPr="004D42D5">
        <w:rPr>
          <w:rFonts w:asciiTheme="majorBidi" w:hAnsiTheme="majorBidi" w:cstheme="majorBidi"/>
          <w:b/>
          <w:bCs/>
          <w:sz w:val="18"/>
          <w:szCs w:val="18"/>
          <w:rtl/>
        </w:rPr>
        <w:t>(النظام القضائي الإسلامي)</w:t>
      </w:r>
      <w:r w:rsidRPr="004D42D5">
        <w:rPr>
          <w:rFonts w:asciiTheme="majorBidi" w:hAnsiTheme="majorBidi" w:cstheme="majorBidi"/>
          <w:b/>
          <w:bCs/>
          <w:sz w:val="18"/>
          <w:szCs w:val="18"/>
          <w:rtl/>
          <w:lang w:bidi="ar-EG"/>
        </w:rPr>
        <w:t>، القاهرة، مكتبة وهبة، 1984م.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t xml:space="preserve">الماوردي، علي بن محمد الماوردي،  </w:t>
      </w:r>
      <w:r w:rsidRPr="004D42D5">
        <w:rPr>
          <w:rFonts w:asciiTheme="majorBidi" w:hAnsiTheme="majorBidi" w:cstheme="majorBidi"/>
          <w:b/>
          <w:bCs/>
          <w:sz w:val="18"/>
          <w:szCs w:val="18"/>
          <w:rtl/>
        </w:rPr>
        <w:t xml:space="preserve">(الأحكام السلطانية والولايات الدينية) </w:t>
      </w:r>
      <w:r w:rsidRPr="004D42D5">
        <w:rPr>
          <w:rFonts w:asciiTheme="majorBidi" w:hAnsiTheme="majorBidi" w:cstheme="majorBidi"/>
          <w:b/>
          <w:bCs/>
          <w:sz w:val="18"/>
          <w:szCs w:val="18"/>
          <w:rtl/>
          <w:lang w:bidi="ar-EG"/>
        </w:rPr>
        <w:t>عالم الكتب، 2007م.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tl/>
        </w:rPr>
      </w:pPr>
      <w:r w:rsidRPr="004D42D5">
        <w:rPr>
          <w:rFonts w:asciiTheme="majorBidi" w:hAnsiTheme="majorBidi" w:cstheme="majorBidi"/>
          <w:b/>
          <w:bCs/>
          <w:sz w:val="18"/>
          <w:szCs w:val="18"/>
          <w:rtl/>
          <w:lang w:bidi="ar-EG"/>
        </w:rPr>
        <w:lastRenderedPageBreak/>
        <w:t xml:space="preserve">أبو العنين، عبد الفتاح أبو العنين،  </w:t>
      </w:r>
      <w:r w:rsidRPr="004D42D5">
        <w:rPr>
          <w:rFonts w:asciiTheme="majorBidi" w:hAnsiTheme="majorBidi" w:cstheme="majorBidi"/>
          <w:b/>
          <w:bCs/>
          <w:sz w:val="18"/>
          <w:szCs w:val="18"/>
          <w:rtl/>
        </w:rPr>
        <w:t xml:space="preserve">(القضاء والإثبات في الفقه </w:t>
      </w:r>
      <w:proofErr w:type="gramStart"/>
      <w:r w:rsidRPr="004D42D5">
        <w:rPr>
          <w:rFonts w:asciiTheme="majorBidi" w:hAnsiTheme="majorBidi" w:cstheme="majorBidi"/>
          <w:b/>
          <w:bCs/>
          <w:sz w:val="18"/>
          <w:szCs w:val="18"/>
          <w:rtl/>
        </w:rPr>
        <w:t xml:space="preserve">الإسلامي) </w:t>
      </w:r>
      <w:r w:rsidRPr="004D42D5">
        <w:rPr>
          <w:rFonts w:asciiTheme="majorBidi" w:hAnsiTheme="majorBidi" w:cstheme="majorBidi"/>
          <w:b/>
          <w:bCs/>
          <w:sz w:val="18"/>
          <w:szCs w:val="18"/>
          <w:rtl/>
          <w:lang w:bidi="ar-EG"/>
        </w:rPr>
        <w:t>،</w:t>
      </w:r>
      <w:proofErr w:type="gramEnd"/>
      <w:r w:rsidRPr="004D42D5">
        <w:rPr>
          <w:rFonts w:asciiTheme="majorBidi" w:hAnsiTheme="majorBidi" w:cstheme="majorBidi"/>
          <w:b/>
          <w:bCs/>
          <w:sz w:val="18"/>
          <w:szCs w:val="18"/>
          <w:rtl/>
          <w:lang w:bidi="ar-EG"/>
        </w:rPr>
        <w:t>مطبعة الأمانة، 1983م.</w:t>
      </w:r>
    </w:p>
    <w:p w:rsidR="003D6405" w:rsidRPr="004D42D5" w:rsidRDefault="003D6405" w:rsidP="004D42D5">
      <w:pPr>
        <w:numPr>
          <w:ilvl w:val="0"/>
          <w:numId w:val="2"/>
        </w:numPr>
        <w:spacing w:after="120" w:line="240" w:lineRule="auto"/>
        <w:jc w:val="lowKashida"/>
        <w:rPr>
          <w:rFonts w:asciiTheme="majorBidi" w:hAnsiTheme="majorBidi" w:cstheme="majorBidi"/>
          <w:b/>
          <w:bCs/>
          <w:sz w:val="18"/>
          <w:szCs w:val="18"/>
        </w:rPr>
      </w:pPr>
      <w:r w:rsidRPr="004D42D5">
        <w:rPr>
          <w:rFonts w:asciiTheme="majorBidi" w:hAnsiTheme="majorBidi" w:cstheme="majorBidi"/>
          <w:b/>
          <w:bCs/>
          <w:sz w:val="18"/>
          <w:szCs w:val="18"/>
          <w:rtl/>
          <w:lang w:bidi="ar-EG"/>
        </w:rPr>
        <w:t xml:space="preserve">إبراهيم، محمود علي أحمد إبراهيم،  </w:t>
      </w:r>
      <w:r w:rsidRPr="004D42D5">
        <w:rPr>
          <w:rFonts w:asciiTheme="majorBidi" w:hAnsiTheme="majorBidi" w:cstheme="majorBidi"/>
          <w:b/>
          <w:bCs/>
          <w:sz w:val="18"/>
          <w:szCs w:val="18"/>
          <w:rtl/>
        </w:rPr>
        <w:t xml:space="preserve">(الحجج القضائية في الشريعة </w:t>
      </w:r>
      <w:proofErr w:type="gramStart"/>
      <w:r w:rsidRPr="004D42D5">
        <w:rPr>
          <w:rFonts w:asciiTheme="majorBidi" w:hAnsiTheme="majorBidi" w:cstheme="majorBidi"/>
          <w:b/>
          <w:bCs/>
          <w:sz w:val="18"/>
          <w:szCs w:val="18"/>
          <w:rtl/>
        </w:rPr>
        <w:t>الإسلامية) ،</w:t>
      </w:r>
      <w:proofErr w:type="gramEnd"/>
      <w:r w:rsidRPr="004D42D5">
        <w:rPr>
          <w:rFonts w:asciiTheme="majorBidi" w:hAnsiTheme="majorBidi" w:cstheme="majorBidi"/>
          <w:b/>
          <w:bCs/>
          <w:sz w:val="18"/>
          <w:szCs w:val="18"/>
          <w:rtl/>
          <w:lang w:bidi="ar-EG"/>
        </w:rPr>
        <w:t>دار الهدى، 1983م.</w:t>
      </w:r>
    </w:p>
    <w:p w:rsidR="003D6405" w:rsidRPr="004D42D5" w:rsidRDefault="003D6405" w:rsidP="004D42D5">
      <w:pPr>
        <w:pStyle w:val="a3"/>
        <w:bidi/>
        <w:spacing w:before="0" w:beforeAutospacing="0" w:after="120" w:afterAutospacing="0"/>
        <w:rPr>
          <w:rFonts w:asciiTheme="majorBidi" w:hAnsiTheme="majorBidi" w:cstheme="majorBidi"/>
          <w:b/>
          <w:bCs/>
          <w:sz w:val="18"/>
          <w:szCs w:val="18"/>
          <w:rtl/>
        </w:rPr>
        <w:sectPr w:rsidR="003D6405" w:rsidRPr="004D42D5" w:rsidSect="003D6405">
          <w:type w:val="continuous"/>
          <w:pgSz w:w="11906" w:h="16838"/>
          <w:pgMar w:top="964" w:right="1021" w:bottom="964" w:left="1021" w:header="709" w:footer="709" w:gutter="0"/>
          <w:cols w:num="2" w:space="708"/>
          <w:bidi/>
          <w:rtlGutter/>
          <w:docGrid w:linePitch="360"/>
        </w:sectPr>
      </w:pPr>
    </w:p>
    <w:p w:rsidR="003D6405" w:rsidRPr="004D42D5" w:rsidRDefault="003D6405" w:rsidP="004D42D5">
      <w:pPr>
        <w:pStyle w:val="a3"/>
        <w:bidi/>
        <w:spacing w:before="0" w:beforeAutospacing="0" w:after="120" w:afterAutospacing="0"/>
        <w:rPr>
          <w:rFonts w:asciiTheme="majorBidi" w:hAnsiTheme="majorBidi" w:cstheme="majorBidi"/>
          <w:b/>
          <w:bCs/>
          <w:sz w:val="18"/>
          <w:szCs w:val="18"/>
          <w:rtl/>
        </w:rPr>
      </w:pPr>
    </w:p>
    <w:p w:rsidR="003D6405" w:rsidRPr="004D42D5" w:rsidRDefault="003D6405" w:rsidP="004D42D5">
      <w:pPr>
        <w:pStyle w:val="a3"/>
        <w:bidi/>
        <w:spacing w:before="0" w:beforeAutospacing="0" w:after="120" w:afterAutospacing="0"/>
        <w:jc w:val="lowKashida"/>
        <w:rPr>
          <w:rFonts w:asciiTheme="majorBidi" w:hAnsiTheme="majorBidi" w:cstheme="majorBidi"/>
          <w:b/>
          <w:bCs/>
          <w:sz w:val="18"/>
          <w:szCs w:val="18"/>
          <w:rtl/>
        </w:rPr>
      </w:pPr>
    </w:p>
    <w:p w:rsidR="003D6405" w:rsidRPr="00C048F2" w:rsidRDefault="003D6405" w:rsidP="003D6405">
      <w:pPr>
        <w:spacing w:after="120" w:line="520" w:lineRule="exact"/>
        <w:jc w:val="lowKashida"/>
        <w:rPr>
          <w:rFonts w:asciiTheme="majorBidi" w:hAnsiTheme="majorBidi" w:cstheme="majorBidi"/>
          <w:sz w:val="32"/>
          <w:szCs w:val="32"/>
          <w:rtl/>
        </w:rPr>
      </w:pPr>
    </w:p>
    <w:p w:rsidR="003D6405" w:rsidRPr="00B7339F" w:rsidRDefault="003D6405" w:rsidP="003D6405">
      <w:pPr>
        <w:spacing w:after="120" w:line="520" w:lineRule="exact"/>
        <w:jc w:val="lowKashida"/>
        <w:rPr>
          <w:rFonts w:ascii="Calibri" w:hAnsi="Calibri" w:cs="AL-Hotham"/>
          <w:sz w:val="24"/>
          <w:szCs w:val="24"/>
          <w:rtl/>
          <w:lang w:bidi="ar-EG"/>
        </w:rPr>
      </w:pPr>
    </w:p>
    <w:p w:rsidR="003D6405" w:rsidRPr="003D6405" w:rsidRDefault="003D6405" w:rsidP="003D6405">
      <w:pPr>
        <w:jc w:val="center"/>
        <w:rPr>
          <w:i/>
          <w:iCs/>
          <w:lang w:bidi="ar-EG"/>
        </w:rPr>
      </w:pPr>
    </w:p>
    <w:sectPr w:rsidR="003D6405" w:rsidRPr="003D6405" w:rsidSect="003D640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E6A727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D6405"/>
    <w:rsid w:val="00130D42"/>
    <w:rsid w:val="003D6405"/>
    <w:rsid w:val="00484D19"/>
    <w:rsid w:val="004D42D5"/>
    <w:rsid w:val="00514443"/>
    <w:rsid w:val="005549A4"/>
    <w:rsid w:val="006D1974"/>
    <w:rsid w:val="00716737"/>
    <w:rsid w:val="009556CB"/>
    <w:rsid w:val="00BF7572"/>
    <w:rsid w:val="00CB319F"/>
    <w:rsid w:val="00FC5D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3D640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3D64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D640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1209343">
      <w:bodyDiv w:val="1"/>
      <w:marLeft w:val="0"/>
      <w:marRight w:val="0"/>
      <w:marTop w:val="0"/>
      <w:marBottom w:val="0"/>
      <w:divBdr>
        <w:top w:val="none" w:sz="0" w:space="0" w:color="auto"/>
        <w:left w:val="none" w:sz="0" w:space="0" w:color="auto"/>
        <w:bottom w:val="none" w:sz="0" w:space="0" w:color="auto"/>
        <w:right w:val="none" w:sz="0" w:space="0" w:color="auto"/>
      </w:divBdr>
    </w:div>
    <w:div w:id="14252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7</cp:revision>
  <dcterms:created xsi:type="dcterms:W3CDTF">2013-06-15T15:08:00Z</dcterms:created>
  <dcterms:modified xsi:type="dcterms:W3CDTF">2013-06-15T20:52:00Z</dcterms:modified>
</cp:coreProperties>
</file>