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360DA5" w:rsidRDefault="008446CC" w:rsidP="00360DA5">
      <w:pPr>
        <w:jc w:val="center"/>
        <w:rPr>
          <w:rFonts w:asciiTheme="majorBidi" w:hAnsiTheme="majorBidi" w:cstheme="majorBidi"/>
          <w:sz w:val="52"/>
          <w:szCs w:val="52"/>
          <w:rtl/>
        </w:rPr>
      </w:pPr>
      <w:r w:rsidRPr="00360DA5">
        <w:rPr>
          <w:rFonts w:asciiTheme="majorBidi" w:eastAsia="Calibri" w:hAnsiTheme="majorBidi" w:cstheme="majorBidi"/>
          <w:sz w:val="52"/>
          <w:szCs w:val="52"/>
          <w:rtl/>
        </w:rPr>
        <w:t>حدود النحو</w:t>
      </w:r>
    </w:p>
    <w:p w:rsidR="00325DEA" w:rsidRDefault="00C07931" w:rsidP="00325DEA">
      <w:pPr>
        <w:jc w:val="center"/>
        <w:rPr>
          <w:rFonts w:eastAsia="Times New Roman"/>
          <w:i/>
          <w:iCs/>
        </w:rPr>
      </w:pPr>
      <w:r>
        <w:rPr>
          <w:rFonts w:hint="cs"/>
          <w:rtl/>
        </w:rPr>
        <w:t>بحث فى النحو</w:t>
      </w:r>
      <w:r>
        <w:br/>
      </w:r>
      <w:proofErr w:type="spellStart"/>
      <w:r w:rsidR="00325DEA">
        <w:rPr>
          <w:rFonts w:hint="cs"/>
          <w:i/>
          <w:iCs/>
          <w:rtl/>
        </w:rPr>
        <w:t>إعداد/</w:t>
      </w:r>
      <w:proofErr w:type="spellEnd"/>
      <w:r w:rsidR="00325DEA">
        <w:rPr>
          <w:rFonts w:hint="cs"/>
          <w:i/>
          <w:iCs/>
          <w:rtl/>
        </w:rPr>
        <w:t xml:space="preserve"> د. وليد علي الطنطاوي</w:t>
      </w:r>
    </w:p>
    <w:p w:rsidR="00325DEA" w:rsidRDefault="00325DEA" w:rsidP="00325DEA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325DEA" w:rsidRDefault="00325DEA" w:rsidP="00325DEA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325DEA" w:rsidRDefault="00325DEA" w:rsidP="00325DEA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325DEA" w:rsidRDefault="00325DEA" w:rsidP="00325DEA">
      <w:pPr>
        <w:bidi w:val="0"/>
        <w:jc w:val="center"/>
        <w:rPr>
          <w:i/>
          <w:iCs/>
        </w:rPr>
      </w:pPr>
      <w:r>
        <w:rPr>
          <w:i/>
          <w:iCs/>
        </w:rPr>
        <w:t>waleed.eltantawy@mediu.edu.my</w:t>
      </w:r>
    </w:p>
    <w:p w:rsidR="00C07931" w:rsidRDefault="00C07931" w:rsidP="00325DEA">
      <w:pPr>
        <w:pStyle w:val="a3"/>
        <w:jc w:val="center"/>
      </w:pPr>
    </w:p>
    <w:p w:rsidR="00360DA5" w:rsidRPr="00C07931" w:rsidRDefault="00360DA5" w:rsidP="00360DA5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  <w:sectPr w:rsidR="00360DA5" w:rsidRPr="00C07931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A63C0" w:rsidRDefault="008446CC" w:rsidP="00360DA5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4A63C0" w:rsidSect="00360DA5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 w:rsidRPr="00360DA5">
        <w:rPr>
          <w:rFonts w:asciiTheme="majorBidi" w:hAnsiTheme="majorBidi" w:cstheme="majorBidi"/>
          <w:b/>
          <w:bCs/>
          <w:sz w:val="18"/>
          <w:szCs w:val="18"/>
        </w:rPr>
        <w:lastRenderedPageBreak/>
        <w:br/>
      </w:r>
    </w:p>
    <w:p w:rsidR="00360DA5" w:rsidRPr="00360DA5" w:rsidRDefault="008446CC" w:rsidP="00360DA5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="00360DA5" w:rsidRPr="00360DA5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حدود النحو</w:t>
      </w:r>
    </w:p>
    <w:p w:rsidR="008446CC" w:rsidRPr="00360DA5" w:rsidRDefault="008446CC" w:rsidP="00360DA5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360DA5"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حدودًا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360DA5" w:rsidRPr="00360DA5">
        <w:rPr>
          <w:rFonts w:asciiTheme="majorBidi" w:hAnsiTheme="majorBidi" w:cstheme="majorBidi"/>
          <w:b/>
          <w:bCs/>
          <w:sz w:val="18"/>
          <w:szCs w:val="18"/>
          <w:rtl/>
        </w:rPr>
        <w:t>كلام العرب</w:t>
      </w: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="00360DA5"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باب القول</w:t>
      </w:r>
    </w:p>
    <w:p w:rsidR="008446CC" w:rsidRPr="00360DA5" w:rsidRDefault="008446CC" w:rsidP="00360DA5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360DA5" w:rsidRPr="00360DA5" w:rsidRDefault="008446CC" w:rsidP="00360DA5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</w:t>
      </w:r>
      <w:r w:rsidR="00360DA5" w:rsidRPr="00360DA5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حدود النحو</w:t>
      </w:r>
    </w:p>
    <w:p w:rsidR="008446CC" w:rsidRPr="00360DA5" w:rsidRDefault="008446CC" w:rsidP="00C07931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proofErr w:type="spellEnd"/>
      <w:r w:rsidR="00C07931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موضوع</w:t>
      </w: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360DA5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ذكر السيوطي أن للنحو حدودًا شتَّى يريد أن حدود النحو كثيرة مبثوثة متفرقة في بطون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الكتب،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واختار من بين هذه الحدود ستة حدود لستة علماء من ستة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مؤلفات؛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موضحًا أن أليقها بكتابه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أحسنها،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وألصقها،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وأقربها إلى تحقيق الغرض من تأليف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كتابه-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هو قول ابن جني في (الخصائص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"هو انتحاء سمت كلام العرب في تصرفه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إعراب،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وغيره كالتثنية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والجمع،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والتحقير،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والتكثير،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والإضافة،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وغير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ذلك؛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ليلحق من ليس من أهل اللغة العربية بأهلها في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الفصاحة،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وأصلها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-يعني: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مصدر نحوت بمعنى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قصدت،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خُصَّ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انتحاء هذا القبيل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العلم،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أن الفقه في الأصل مصدر فقهت بمعنى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فهمت،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خُصَّ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الشريعة"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ونلحظ أن السيوطي قد تصرف في النقل عن ابن جني تصرفًا يسيرًا بالإيجاز غير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المخل؛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خشية الإطالة على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القارئ،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ورغبة في الوفاء بما ذكره في مقدمة (الاقتراح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حيث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"واعلم أني قد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استمديت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استمدت بمعنى طلبت المدد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والمعونة،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فأصله بدالين ثم خُفف بإبدال الثانية ياء لكراهية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التضعيف،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وهذا الإبدال غير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مطرد-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الكتاب كثيرًا من (الخصائص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لابن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جني،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فإنه وضعه في هذا المعنى وسماه (أصول النحو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لكن أكثره خارج عن هذا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المعنى،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فلخصت منه جميع ما يتعلق بهذا المعنى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بأوجز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عبارة،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وأرشقها،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وأوضحها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معزوًا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إليه"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وهذا النص قد تضمن معنى النحو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بأوجز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عبارة وأفصح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بيان،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وأوضح أن النحو هو الاتجاه صوب كلام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والميل جهة طرائقهم في تصرفه من إعراب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وتصريف،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تصرف الكلام العربي من وجه إلى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آخر؛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سواء كان ذلك في التراكيب أو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المفردات،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وقال معللًا انتحاء سمت كلام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ليلحق من ليس من أهل العربية بأهلها في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الفصاحة،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وابن جني يُريد بالفصاحة هنا ما يشمل سلامة المفردات من مخالفة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الاستعمال،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القياس،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هما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معًا،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وسلامة التراكيب من الوقوع في اللحن. 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ذكر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شراح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(الاقتراح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السيوطي في اختصاره كلام ابن جني حذف منه مواضع لا تخلو عن فائدة في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الجملة،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ولذلك نذكر كامل العبارة لإتمام النفع وإكمال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الفائدة،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 ابن جني -رحمه الله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تعالى-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(الخصائص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"باب القول على النحو هو انتحاء سمت كلام العرب في تصرفه من </w:t>
      </w: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إعراب وغيره كالتثنية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والجمع،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والتحقير،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والتكثير،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والإضافة،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والنسب،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والتراكيب،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وغير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ذلك؛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ليلحق من ليس من أهل العرب بأهلها في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الفصاحة،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فينطق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لم يكن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منهم،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شذَّ بعضهم عنها رُدَّ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إليها،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في الأصل مصدر شائع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نحوت نحوًا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كقولك: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قصد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قصدًا،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خُصَّ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انتحاء هذا القبيل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العلم،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أن الفقه في الأصل مصدر فقهت الشيء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عرفته،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خُصَّ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علم الشريعة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التحليل،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والتحريم،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وكما أن بيت الله خُصَّ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الكعبة،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كانت البيوت كلها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لله،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وله نظائر في قصر ما كان شائعًا في جنسه على أحد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أنواعه،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استعملته العرب ظرفًا وأصله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المصدر"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وولي تعريف ابن جني للنحو في كتاب (الاقتراح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تعريف صاحب (المستوفى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أبو سعيد الفرخان أو الفرُّخان بالفاء المفتوحة والخاء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المعجمة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بينهما راء ساكنة أو مضمومة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مشددة،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والضبط الأول هو الأصح واسمه علي بن مسعود بن محمود بن الحكيم القاضي جمال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الدين،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المتوفى سنة ثمان وأربعين وخمسمائة من الهجرة قال في كتابه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المذكور: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"النحو صناعة علمية ينظر لها أصحابها في ألفاظ العرب من جهة ما يتألَّف بحسب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استعمالهم؛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لتُعرف النسبة بين صيغة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النظم،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وصورة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المعنى،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فيتوصل بإحداهما إلى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الأخرى"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ونحن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نلحظ أن ابن جني قد حدَّ النحو بمفهومه القديم الشامل للنحو والصرف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معًا،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باعتبار الصرف قسمًا من النحو فحدَّه بما يتناول أحكام المفردات والتراكيب. 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أما صاحب (المستوفى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حدَّه مقصورًا على ما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يتألفه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يتركب منه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الكلام-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أدلَّ على ذلك من قوله في كتابه (المستوفى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عند حديثه عن فضيلة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"وأما مرتبة هذا العلم من العلوم المناسبة له فبعد اللغة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والتصريف،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وقبل الكلام والفقه...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إلى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قوله: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"فهو فوق ما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قبله،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ودون كثير مما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بعده"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ففرَّق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بينه وبين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التصريف،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أشار في التعريف إلى مراعاة الارتباط فيه بين الألفاظ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والمعاني؛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فالنحو عنده مراعاة ما تقتضيه ظاهر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الصناعة،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ومراعاة ما تتطلبه المعاني معًا لما بينهما من كمال الارتباط.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أما الحد الثالث للنحو الذي أورده السيوطي في (الاقتراح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نقله عن محمد بن يحيى بن هشام الأنصاري الخزرجي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الأندلسي،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المعروف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بالخضراوي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نسبة إلى الجزيرة الخضراء المتوفى سنة ست وأربعين وستمائة من الهجرة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"النحو علم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بأقيسة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تغيير ذوات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الكلم،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وأواخرها بالنسبة إلى لغة لسان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والأقيسة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هي القواعد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القوانين-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شمل تعريفه النحو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بأقيسة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تغيير ذوات الكلم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المفردات؛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كالتثنية،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والجمع،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والتصغير،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وسائر المباحث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الصرفية،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وأيضًا شمل تغيير أواخر الكلم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التراكيب؛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فالصرف عنده إذن قسم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فهو متابع في هذا لابن جني. </w:t>
      </w: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وقد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اتهم بأن في تعريفه هذا ركاكة غير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خافية،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وبخاصة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قوله: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"إلى لغة لسان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فقيل: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لو حذف كلمة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"لسان"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لكان أولى. 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الحد الرابع للنحو الذي أورده السيوطي فقد نقله عن ابن عصفور الأندلسي المتوفى سنة تسع وستين وستمائة من الهجرة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"النحو علم </w:t>
      </w: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يُستخرج بالمقاييس المستنبطة من استقراء كلام العرب الموصلة إلى معرفة أحكام أجزائه التي ائتلف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منها"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وتعبيره بالفعل المضارع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"يستخرج"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أبلغ من التعبير باسم المفعول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"مستخرج"،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لما في الفعل المضارع من الدلالة على الدوام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والاستمرار،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أن التعبير بالجمع الأقصى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"مقاييس"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أبلغ من تعبير الخضراوي بصيغة جمع القلة "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أقيسة"؛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القواعد النحوية لا تكاد تُحصى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لكثرتها،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فجمع الكثرة إذًا أولى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جمع القلة. والمراد بمعرفة أحكام أجزائه التي ائتلف منها ما يشمل الأحكام التصريفية والأحكام النحوية. ولم يَسْلَم هذا التعريف أيضًا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النقد؛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اعترضه أحمد بن محمد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الإشبيلي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المشهور بابن الحاج المتوفى سنة سبع وأربعين وستمائة من الهجرة اعترضه من وجهين: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أحدهما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بيان ما يُستخرج منه النحو ليس بيانًا لحقيقة النحو. 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والآخر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كلامه يقتضي أن المقاييس شيء غير النحو مع أن علم مقاييس كلام العرب هو النحو. 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رُدَّ عليه بأن </w:t>
      </w:r>
      <w:proofErr w:type="gram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قول</w:t>
      </w:r>
      <w:proofErr w:type="gram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ابن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عصفور: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"علم يستخرج بالمقاييس...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آخره مراده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إدراك حاصل من القواعد الحاصلة من المقاييس المستنبطة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الاستقراء،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تتبع كلام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تبيينٌ لحقيقة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لا تبيين لما منه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استخراجه،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ويُعلم بهذا أن علم مقاييس كلام العرب هو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فيسقط النقد بوجهيه.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أما الحد الخامس للنحو فقد نقله السيوطي عن صاحب كتاب (البديع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محمد بن مسعود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الغزني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المتوفى سنة إحدى وعشرين وأربعمائة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الهجرة،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"النحو صناعة علمية يُعرف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أحوال كلام العربي من جهة ما يصح ويفسد في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التأليف؛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ليعرف الصحيح من الفاسد وبهذا يعلم أن المراد بالعلم المصدر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حدود العلوم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الصناعة،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ويندفع الإيراد الأخير على كلام ابن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عصفور"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وبهذا الحد يتفق صاحب (البديع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مع صاحب (المستوفى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عرف كلاهما النحو بأنه صناعة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نحوية،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ملكة حاصلة بالتمرّن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والدُّربة،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وأشار صاحب (البديع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تعريف النحو بأنه صناعة نحوية يندفع ما أورد على تعريف ابن عصفور السابق الذي لم يشر في صدارته إلى أن النحو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صناعة،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أنه يقتضي فقد العلم عند فقد العالم بما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ذكر،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كذلك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لثبوته؛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قواعد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مقررة،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وأقيسة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محررة سواء وجد العالم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أم لم يوجد. كما أشار إلى ذلك السيوطي عند تعريفه أصول النحو.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الحد السادس للنحو فأورده السيوطي نقلًا عن الإمام أبي بكر محمد بن الثري البغدادي المعروف بابن السراج المتوفى سنة ثلاثمائة وستة عشرة من الهجرة قال في كتابه المسمى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بـ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(الأصول في النحو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"النحو علم استخرجه المتقدمون من استقراء كلام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العرب"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قيل: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هذا التعريف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تقريبي؛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يصدق على علوم الأدب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كلها،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هذا شأن كل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منها،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يشر السيوطي إلى فائدة علم النحو كما أشار إلى فائدة علم أصول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النحو؛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كتابه (الاقتراح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ليس موضوعه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موضوعه أصول النحو.</w:t>
      </w:r>
    </w:p>
    <w:p w:rsidR="008446CC" w:rsidRPr="00360DA5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كما أنّ الحديثَ عن فائدة علم النحو حديث يحتاج إلى الإسهاب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والإطناب،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تغني فيه الإشارة عن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المقالة،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 الأمر كما يقول المثل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العربي: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حسبك من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القلالة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أحاط بالعنق. ويكفي أن نطلع على ما ذكره </w:t>
      </w: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المؤرخون لنشأة علوم اللغة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العربية،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وفي مقدمتها علم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وكيف كانت الملكة اللسانية عند العرب من أحسن الملكات وأوضحها إبانة عن المقاصد والقدرة على الوصول إلى أجلّ </w:t>
      </w:r>
      <w:proofErr w:type="spellStart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>المعاني،</w:t>
      </w:r>
      <w:proofErr w:type="spellEnd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وأكثرها </w:t>
      </w:r>
      <w:proofErr w:type="spellStart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>بأوجز</w:t>
      </w:r>
      <w:proofErr w:type="spellEnd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الألفاظ </w:t>
      </w:r>
      <w:proofErr w:type="spellStart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>وأقلها،</w:t>
      </w:r>
      <w:proofErr w:type="spellEnd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وهذا هو معنى قول الرسول الكريم </w:t>
      </w:r>
      <w:r w:rsidRPr="00360DA5">
        <w:rPr>
          <w:rFonts w:asciiTheme="majorBidi" w:hAnsiTheme="majorBidi" w:cstheme="majorBidi"/>
          <w:b/>
          <w:bCs/>
          <w:spacing w:val="-2"/>
          <w:position w:val="-4"/>
          <w:sz w:val="18"/>
          <w:szCs w:val="18"/>
        </w:rPr>
        <w:sym w:font="AGA Arabesque" w:char="F065"/>
      </w:r>
      <w:proofErr w:type="spellStart"/>
      <w:r w:rsidRPr="00360DA5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>: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(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(أوتيت جوامع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الكلم،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واختصر لي الكلام اختصارًا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)).</w:t>
      </w:r>
      <w:proofErr w:type="spellEnd"/>
    </w:p>
    <w:p w:rsidR="008446CC" w:rsidRDefault="008446CC" w:rsidP="00360DA5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ولكن لما اختلط العرب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بالعجم،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تغيَّرت تلك الملكة بما ألقى إليها السمع من المخالفات التي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للمستعربين،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والسمع أبو الملكات اللسانية -كما قال ابن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خلدون-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ففسد بما ألقي إليها مما يُغايرها لجنوحها إليه باعتياد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السمع،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وخشي العلماء أن تفسد تلك الملكة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رأسًا،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ويطول العهد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فينغلق فهم الكتاب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والسنة،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يسلما من عادية اللحن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والتحريف،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وهما موئل الدين وذخيرة المسلمين فبادر الغيور على دين الله إلى تأليف تلك القواعد والقوانين في ضوء أدلة علم أصول </w:t>
      </w:r>
      <w:proofErr w:type="spellStart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360DA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واصطلحوا على تسميتها بعلم النحو.</w:t>
      </w:r>
    </w:p>
    <w:p w:rsidR="004A63C0" w:rsidRPr="00360DA5" w:rsidRDefault="004A63C0" w:rsidP="004A63C0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1B1F06" w:rsidRDefault="001B1F06" w:rsidP="001B1F06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1B1F06" w:rsidRDefault="001B1F06" w:rsidP="001B1F06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1B1F06" w:rsidRDefault="001B1F06" w:rsidP="001B1F06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1B1F06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1B1F06">
      <w:pPr>
        <w:pStyle w:val="a8"/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B1F06" w:rsidRDefault="001B1F06" w:rsidP="004A63C0">
      <w:pPr>
        <w:bidi w:val="0"/>
        <w:spacing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  <w:sectPr w:rsidR="001B1F06" w:rsidSect="001B1F06">
          <w:headerReference w:type="default" r:id="rId8"/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4A63C0" w:rsidRPr="004A63C0" w:rsidRDefault="004A63C0" w:rsidP="004A63C0">
      <w:pPr>
        <w:bidi w:val="0"/>
        <w:spacing w:line="240" w:lineRule="auto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4A63C0">
        <w:rPr>
          <w:rFonts w:asciiTheme="majorBidi" w:eastAsia="Calibri" w:hAnsiTheme="majorBidi" w:cstheme="majorBidi"/>
          <w:b/>
          <w:bCs/>
          <w:sz w:val="32"/>
          <w:szCs w:val="32"/>
          <w:rtl/>
        </w:rPr>
        <w:lastRenderedPageBreak/>
        <w:br w:type="page"/>
      </w:r>
    </w:p>
    <w:p w:rsidR="008446CC" w:rsidRPr="008446CC" w:rsidRDefault="008446CC"/>
    <w:sectPr w:rsidR="008446CC" w:rsidRPr="008446CC" w:rsidSect="004A63C0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3D" w:rsidRDefault="00EC5C3D" w:rsidP="004A63C0">
      <w:pPr>
        <w:spacing w:after="0" w:line="240" w:lineRule="auto"/>
      </w:pPr>
      <w:r>
        <w:separator/>
      </w:r>
    </w:p>
  </w:endnote>
  <w:endnote w:type="continuationSeparator" w:id="0">
    <w:p w:rsidR="00EC5C3D" w:rsidRDefault="00EC5C3D" w:rsidP="004A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3D" w:rsidRDefault="00EC5C3D" w:rsidP="004A63C0">
      <w:pPr>
        <w:spacing w:after="0" w:line="240" w:lineRule="auto"/>
      </w:pPr>
      <w:r>
        <w:separator/>
      </w:r>
    </w:p>
  </w:footnote>
  <w:footnote w:type="continuationSeparator" w:id="0">
    <w:p w:rsidR="00EC5C3D" w:rsidRDefault="00EC5C3D" w:rsidP="004A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EC5C3D">
    <w:pPr>
      <w:pStyle w:val="a5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D89"/>
    <w:multiLevelType w:val="hybridMultilevel"/>
    <w:tmpl w:val="7F6E199E"/>
    <w:lvl w:ilvl="0" w:tplc="2D28B974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446CC"/>
    <w:rsid w:val="001B1F06"/>
    <w:rsid w:val="00325DEA"/>
    <w:rsid w:val="00360DA5"/>
    <w:rsid w:val="004A63C0"/>
    <w:rsid w:val="00580851"/>
    <w:rsid w:val="005E1F89"/>
    <w:rsid w:val="006B1B8F"/>
    <w:rsid w:val="007E639D"/>
    <w:rsid w:val="008446CC"/>
    <w:rsid w:val="00A7243E"/>
    <w:rsid w:val="00B44A69"/>
    <w:rsid w:val="00BB151A"/>
    <w:rsid w:val="00C07931"/>
    <w:rsid w:val="00C448C6"/>
    <w:rsid w:val="00C8550E"/>
    <w:rsid w:val="00CA6391"/>
    <w:rsid w:val="00DE7071"/>
    <w:rsid w:val="00EC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46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446CC"/>
    <w:rPr>
      <w:b/>
      <w:bCs/>
    </w:rPr>
  </w:style>
  <w:style w:type="paragraph" w:styleId="a5">
    <w:name w:val="header"/>
    <w:basedOn w:val="a"/>
    <w:link w:val="Char"/>
    <w:rsid w:val="004A63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5"/>
    <w:rsid w:val="004A63C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4A63C0"/>
  </w:style>
  <w:style w:type="paragraph" w:styleId="a7">
    <w:name w:val="footer"/>
    <w:basedOn w:val="a"/>
    <w:link w:val="Char0"/>
    <w:uiPriority w:val="99"/>
    <w:semiHidden/>
    <w:unhideWhenUsed/>
    <w:rsid w:val="004A6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4A63C0"/>
  </w:style>
  <w:style w:type="paragraph" w:styleId="a8">
    <w:name w:val="List Paragraph"/>
    <w:basedOn w:val="a"/>
    <w:uiPriority w:val="34"/>
    <w:qFormat/>
    <w:rsid w:val="001B1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3FF5-C186-40FB-876F-E7DBD9F4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9</cp:revision>
  <dcterms:created xsi:type="dcterms:W3CDTF">2013-06-13T02:54:00Z</dcterms:created>
  <dcterms:modified xsi:type="dcterms:W3CDTF">2013-06-16T11:06:00Z</dcterms:modified>
</cp:coreProperties>
</file>