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D75608" w:rsidRDefault="00D75608" w:rsidP="00D75608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D75608">
        <w:rPr>
          <w:rFonts w:asciiTheme="majorBidi" w:eastAsia="Calibri" w:hAnsiTheme="majorBidi" w:cstheme="majorBidi"/>
          <w:sz w:val="48"/>
          <w:szCs w:val="48"/>
          <w:rtl/>
        </w:rPr>
        <w:t>تقسيم الحكم النحوي إلى رخصة وغيرها</w:t>
      </w:r>
    </w:p>
    <w:p w:rsidR="005E5C5D" w:rsidRDefault="0003694A" w:rsidP="005E5C5D">
      <w:pPr>
        <w:jc w:val="center"/>
        <w:rPr>
          <w:rFonts w:eastAsia="Times New Roman"/>
          <w:i/>
          <w:iCs/>
        </w:rPr>
      </w:pPr>
      <w:r>
        <w:rPr>
          <w:rFonts w:hint="cs"/>
          <w:rtl/>
        </w:rPr>
        <w:t>بحث فى النحو</w:t>
      </w:r>
      <w:r>
        <w:br/>
      </w:r>
      <w:r w:rsidR="005E5C5D">
        <w:rPr>
          <w:rFonts w:hint="cs"/>
          <w:i/>
          <w:iCs/>
          <w:rtl/>
        </w:rPr>
        <w:t xml:space="preserve">إعداد/ </w:t>
      </w:r>
      <w:r w:rsidR="005E5C5D">
        <w:rPr>
          <w:rFonts w:hint="cs"/>
          <w:i/>
          <w:iCs/>
          <w:rtl/>
          <w:lang w:bidi="ar-EG"/>
        </w:rPr>
        <w:t>أحمد عبد الحميد مهدي</w:t>
      </w:r>
    </w:p>
    <w:p w:rsidR="005E5C5D" w:rsidRDefault="005E5C5D" w:rsidP="005E5C5D">
      <w:pPr>
        <w:bidi w:val="0"/>
        <w:jc w:val="center"/>
        <w:rPr>
          <w:rFonts w:eastAsia="SimSun"/>
          <w:i/>
          <w:iCs/>
          <w:sz w:val="20"/>
          <w:szCs w:val="20"/>
        </w:rPr>
      </w:pPr>
      <w:r>
        <w:rPr>
          <w:rFonts w:hint="cs"/>
          <w:i/>
          <w:iCs/>
          <w:rtl/>
        </w:rPr>
        <w:t>قسم اللغة العربية</w:t>
      </w:r>
    </w:p>
    <w:p w:rsidR="005E5C5D" w:rsidRDefault="005E5C5D" w:rsidP="005E5C5D">
      <w:pPr>
        <w:bidi w:val="0"/>
        <w:jc w:val="center"/>
        <w:rPr>
          <w:i/>
          <w:iCs/>
        </w:rPr>
      </w:pPr>
      <w:proofErr w:type="gramStart"/>
      <w:r>
        <w:rPr>
          <w:rFonts w:hint="cs"/>
          <w:i/>
          <w:iCs/>
          <w:rtl/>
        </w:rPr>
        <w:t>كلية</w:t>
      </w:r>
      <w:proofErr w:type="gramEnd"/>
      <w:r>
        <w:rPr>
          <w:rFonts w:hint="cs"/>
          <w:i/>
          <w:iCs/>
          <w:rtl/>
        </w:rPr>
        <w:t xml:space="preserve"> اللغات </w:t>
      </w:r>
      <w:proofErr w:type="spellStart"/>
      <w:r>
        <w:rPr>
          <w:rFonts w:hint="cs"/>
          <w:i/>
          <w:iCs/>
          <w:rtl/>
        </w:rPr>
        <w:t>–</w:t>
      </w:r>
      <w:proofErr w:type="spellEnd"/>
      <w:r>
        <w:rPr>
          <w:rFonts w:hint="cs"/>
          <w:i/>
          <w:iCs/>
          <w:rtl/>
        </w:rPr>
        <w:t xml:space="preserve"> جامعة المدينة العالمية</w:t>
      </w:r>
    </w:p>
    <w:p w:rsidR="005E5C5D" w:rsidRDefault="005E5C5D" w:rsidP="005E5C5D">
      <w:pPr>
        <w:bidi w:val="0"/>
        <w:jc w:val="center"/>
        <w:rPr>
          <w:i/>
          <w:iCs/>
        </w:rPr>
      </w:pPr>
      <w:r>
        <w:rPr>
          <w:rFonts w:hint="cs"/>
          <w:i/>
          <w:iCs/>
          <w:rtl/>
        </w:rPr>
        <w:t xml:space="preserve">شاه علم </w:t>
      </w:r>
      <w:proofErr w:type="spellStart"/>
      <w:r>
        <w:rPr>
          <w:rFonts w:hint="cs"/>
          <w:i/>
          <w:iCs/>
          <w:rtl/>
        </w:rPr>
        <w:t>-</w:t>
      </w:r>
      <w:proofErr w:type="spellEnd"/>
      <w:r>
        <w:rPr>
          <w:rFonts w:hint="cs"/>
          <w:i/>
          <w:iCs/>
          <w:rtl/>
        </w:rPr>
        <w:t xml:space="preserve"> ماليزيا</w:t>
      </w:r>
    </w:p>
    <w:p w:rsidR="005E5C5D" w:rsidRDefault="005E5C5D" w:rsidP="005E5C5D">
      <w:pPr>
        <w:bidi w:val="0"/>
        <w:jc w:val="center"/>
        <w:rPr>
          <w:i/>
          <w:iCs/>
        </w:rPr>
      </w:pPr>
      <w:r>
        <w:rPr>
          <w:i/>
          <w:iCs/>
        </w:rPr>
        <w:t>ahmed.mahdey@mediu.ws</w:t>
      </w:r>
    </w:p>
    <w:p w:rsidR="0003694A" w:rsidRDefault="0003694A" w:rsidP="005E5C5D">
      <w:pPr>
        <w:pStyle w:val="a3"/>
        <w:jc w:val="center"/>
      </w:pPr>
    </w:p>
    <w:p w:rsidR="00D75608" w:rsidRPr="0003694A" w:rsidRDefault="00D75608" w:rsidP="00D75608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lang w:bidi="ar-EG"/>
        </w:rPr>
        <w:sectPr w:rsidR="00D75608" w:rsidRPr="0003694A" w:rsidSect="005E5C5D">
          <w:headerReference w:type="even" r:id="rId7"/>
          <w:pgSz w:w="11906" w:h="16838" w:code="9"/>
          <w:pgMar w:top="1135" w:right="2552" w:bottom="2835" w:left="2552" w:header="709" w:footer="709" w:gutter="0"/>
          <w:cols w:space="708"/>
          <w:titlePg/>
          <w:bidi/>
          <w:rtlGutter/>
          <w:docGrid w:linePitch="360"/>
        </w:sectPr>
      </w:pPr>
    </w:p>
    <w:p w:rsidR="00D75608" w:rsidRPr="00D75608" w:rsidRDefault="00D75608" w:rsidP="00D75608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هذا البحث يبحث فى </w:t>
      </w:r>
      <w:r w:rsidRPr="00D756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تقسيم الحكم النحوي إلى رخصة وغيرها</w:t>
      </w:r>
    </w:p>
    <w:p w:rsidR="00D75608" w:rsidRPr="00D75608" w:rsidRDefault="00D75608" w:rsidP="00EC2176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المفتاحية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–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</w:t>
      </w:r>
      <w:r w:rsidR="00EC2176">
        <w:rPr>
          <w:rFonts w:asciiTheme="majorBidi" w:hAnsiTheme="majorBidi" w:cstheme="majorBidi" w:hint="cs"/>
          <w:b/>
          <w:bCs/>
          <w:sz w:val="18"/>
          <w:szCs w:val="18"/>
          <w:rtl/>
        </w:rPr>
        <w:t>لرخصة</w:t>
      </w: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="00EC2176" w:rsidRPr="00EC21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EC2176"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الكلام النثري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 w:rsidR="00EC2176" w:rsidRPr="00EC217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="00EC2176" w:rsidRPr="00D75608">
        <w:rPr>
          <w:rFonts w:asciiTheme="majorBidi" w:hAnsiTheme="majorBidi" w:cstheme="majorBidi"/>
          <w:b/>
          <w:bCs/>
          <w:sz w:val="18"/>
          <w:szCs w:val="18"/>
          <w:rtl/>
        </w:rPr>
        <w:t>تحسين النثر</w:t>
      </w:r>
    </w:p>
    <w:p w:rsidR="00D75608" w:rsidRPr="00D75608" w:rsidRDefault="00D75608" w:rsidP="00D75608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D75608" w:rsidRPr="00D75608" w:rsidRDefault="00D75608" w:rsidP="00D75608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العالمين،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والصلاة والسلام على أشرف المرسلين سيدنا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محمد،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آله وصحبه </w:t>
      </w:r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والتابعين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سوف نقوم في هذا البحث بمعرفة </w:t>
      </w:r>
      <w:r w:rsidRPr="00D75608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تقسيم الحكم النحوي إلى رخصة وغيرها</w:t>
      </w:r>
    </w:p>
    <w:p w:rsidR="00D75608" w:rsidRPr="00D75608" w:rsidRDefault="00D75608" w:rsidP="0003694A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03694A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D75608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ذكر السيوطي أن الحكم النحوي ينقسم أيضًا إلى رخصة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وغيرها،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وأراد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بالرخصة: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جاز استعماله لضرورة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جاز في الشعر مما لا يجوز استعمال نظيره في الكلام النثري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الاختياري،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المعروف بالضرائر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الشعرية،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وأوضح أن هذه الضرائر ليست على درجة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واحدة،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بل هي تتفاوت حسنًا وقبحًا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النحويين حكموا على بعض الضرائر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بالحسن،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بعضها بالقبح. </w:t>
      </w:r>
      <w:proofErr w:type="spellStart"/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وقال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"وقد يلحق بالضرورة ما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معناها،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الحاجة إلى تحسين النثر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بالازدواج".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D75608" w:rsidRPr="00D75608" w:rsidRDefault="00D75608" w:rsidP="00D75608">
      <w:pPr>
        <w:pStyle w:val="a3"/>
        <w:bidi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ومن الواضح أن السيوطي قد اختار مذهب سيبويه والجمهور في تعريف الضرورة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الشعرية؛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فالضرورة الشعرية عند هؤلاء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العلماء: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جاز في الشعر مما لا يجوز نظيره في الكلام الاختياري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مطلقًا،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سواء أكان للشاعر عنه مندوحة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مهرب وسعة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وفسحة-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أم لم يكن له عنه مندوحة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لماذا؟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لأنهم يَرَوْن أن الشعراء أُمراء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الكلام،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والضرورة هي مخالفة لسَنَن 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لطريقة 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الاختياري،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بالنسبة للإجراء على القواعد النحوية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المعروفة،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 ليس معناها الخروج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ألبتَّة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عن قواعد اللغة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ومقاييسها،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فللضرورة عندهم حدود تنتهي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إليها،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وغاية تقف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عندها،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ومقاييس يلتزم الشعراء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بها،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نعم هي مُخَالِفة ومُخَالَفة لسنن 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المنثور،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خارجة عن قوانينه بما للشعر من سمات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معينة،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وطبيعة منفردة تجعله خليقًا بأن يتخفَّف من قيود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الكلام،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لكن الشاعر مع ذلك يُراعي أن الشعر أحد نوعي التعبير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اللغوي؛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فينبغي أن تتصل بين النوعين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الأسباب،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وأن تمتدَّ بينهما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الوشائج،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ضرورة إلا وهناك صلة ما تربطها بالكلام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النثري،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وهذه الصلة هي التي تُعرف بوجه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الضرورة،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بعلة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الضرورة،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والمتتبّع لضرائر الشعر عند العرب يجد أن وجه الضرورة لا يكاد يخرج عن أحد أمرين:</w:t>
      </w:r>
    </w:p>
    <w:p w:rsidR="00D75608" w:rsidRPr="00D75608" w:rsidRDefault="00D75608" w:rsidP="00D75608">
      <w:pPr>
        <w:pStyle w:val="a3"/>
        <w:bidi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الأول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تشبيه ما وقع في الشعر بما وقع في 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النثري،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كصرف ما لا ينصرف من الأسماء تشبيهًا له بما ينصرف في 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للتناسب،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كتنوين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"سلاسل"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مع كونها على صيغة منتهى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الجموع؛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لمناسبة ما بعدها في قول الله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تعالى: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{</w:t>
      </w:r>
      <w:r w:rsidRPr="00D75608">
        <w:rPr>
          <w:rFonts w:asciiTheme="majorBidi" w:hAnsiTheme="majorBidi" w:cs="QCF_P578"/>
          <w:b/>
          <w:bCs/>
          <w:sz w:val="18"/>
          <w:szCs w:val="18"/>
          <w:rtl/>
        </w:rPr>
        <w:t>ﯻ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ﯼ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ﯽ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ﯾ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ﯿ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="QCF_P578"/>
          <w:b/>
          <w:bCs/>
          <w:sz w:val="18"/>
          <w:szCs w:val="18"/>
          <w:rtl/>
        </w:rPr>
        <w:t>ﰀ</w:t>
      </w: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}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[الإنسان: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4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]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وقال أبو كبير الهذلي:</w:t>
      </w:r>
    </w:p>
    <w:tbl>
      <w:tblPr>
        <w:bidiVisual/>
        <w:tblW w:w="0" w:type="auto"/>
        <w:jc w:val="center"/>
        <w:tblLook w:val="01E0"/>
      </w:tblPr>
      <w:tblGrid>
        <w:gridCol w:w="1906"/>
        <w:gridCol w:w="538"/>
        <w:gridCol w:w="1925"/>
      </w:tblGrid>
      <w:tr w:rsidR="00D75608" w:rsidRPr="00D75608" w:rsidTr="003441B5">
        <w:trPr>
          <w:trHeight w:hRule="exact" w:val="405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مما حملنا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به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وهن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عواقد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حُبك النطاق فشب غير مهبل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وصف الشاعر رجلًا شهم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الفؤاد،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ماضيًا في الرجال ينزع إلى أبيه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الشَّبَه،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والشاهد في البيت صرف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عواقد،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مع أنه على صيغة منتهى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الجموع،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فهو 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عاقدة،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للضرورة الشعرية. 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الثاني: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ردُّ الأشياء إلى أصولها كفكّ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المدغم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الواجب إدغامه في الكلام كقول الشاعر:</w:t>
      </w:r>
    </w:p>
    <w:tbl>
      <w:tblPr>
        <w:bidiVisual/>
        <w:tblW w:w="0" w:type="auto"/>
        <w:jc w:val="center"/>
        <w:tblLook w:val="01E0"/>
      </w:tblPr>
      <w:tblGrid>
        <w:gridCol w:w="1912"/>
        <w:gridCol w:w="538"/>
        <w:gridCol w:w="1919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مهلًا أَعاذلَ قد جربت من </w:t>
            </w:r>
            <w:proofErr w:type="gram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خلقي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  <w:proofErr w:type="gramEnd"/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أني أجود لأقوام وإن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ضَنِنُوا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الواجب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الكلام أن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يقال: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ضنًّوا بوجوب إدغام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المثلين،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فلما اضطر الشاعر فك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الإدغام؛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رجوعًا إلى الأصل. 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ومما يؤكد اختيار السيوطي لمذهب سيبويه والجمهور في الضرورة الشعرية إجازته أن يُلحَق بالضرورة ما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معناها،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الحاجة إلى تحسين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النثر؛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فسيبويه والمبرد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والسيرافي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وابن عصفور وغيرهم كثير من النحويين قد أجازوا في بعض أنواع الكلام النثري ما جاز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كالكلام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المسجوع،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والأمثال؛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لورود ذلك عن العرب. ففي حين منع جمهور البصريين حذف حرف النداء إذا كان المنادى نكرة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مقصودة،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ذكر سيبويه أنه قد يجوز بقلةٍ حذف ياء من النكرة المقصودة في الشعر فقال في (الكتاب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"وقد يجوز حذف ياء من النكرة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-أي: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المقصودة-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وقال العجاج: </w:t>
      </w:r>
    </w:p>
    <w:tbl>
      <w:tblPr>
        <w:bidiVisual/>
        <w:tblW w:w="0" w:type="auto"/>
        <w:jc w:val="center"/>
        <w:tblLook w:val="01E0"/>
      </w:tblPr>
      <w:tblGrid>
        <w:gridCol w:w="1987"/>
        <w:gridCol w:w="538"/>
        <w:gridCol w:w="1844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جاري لا 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تستنكري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عذيري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...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...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...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...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.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spellStart"/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يريد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يا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جارية،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وقال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مثل: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افتدي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مخنوق،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وأصبح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ليل،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وأطرق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كرى"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وهكذا أدخل سيبويه الأمثال في حيّز ما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يُستجاز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الشعر. وقال المبرد في (المقتضب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):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"والأمثال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يستجاز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فيها ما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يستجاز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الشعر لكثرة الاستعمال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لها"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انتهى.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واستطرد السيوطي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فقال: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"فالضرورة الحسنة ما لا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يستهجن،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تستوحش منه النفس يُريد ما لا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يستقبح،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يعاب،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أو تنفر منه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النفس"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وضرب لذلك ثلاثة أمثلة من غير استشهاد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عليها،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صرف ما لا ينصرف كبيت أبي كبير الهذلي الذي أوردناه فيما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سبق،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وقصر الجمع الممدود كقول الشاعر:</w:t>
      </w:r>
    </w:p>
    <w:tbl>
      <w:tblPr>
        <w:bidiVisual/>
        <w:tblW w:w="0" w:type="auto"/>
        <w:jc w:val="center"/>
        <w:tblLook w:val="01E0"/>
      </w:tblPr>
      <w:tblGrid>
        <w:gridCol w:w="1900"/>
        <w:gridCol w:w="537"/>
        <w:gridCol w:w="1932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lastRenderedPageBreak/>
              <w:t xml:space="preserve">فلو أن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الأطبّا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كان حولي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وكان مع الأطباء الأُسَاة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فقصر الشاعر الأطباء في الشطر الأول من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البيت،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طبيب،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كما أنه أيضًا اكتفى بالضمة عن واو الجماعة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قوله: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كانوا،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ضرورة أخرى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البيت،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وإن لم يذكرها السيوطي في (الاقتراح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)،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وقيل: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إن السيوطي أراد بضرورة قصر الجمع الممدود حذف الياء الواقعة قبل الآخر في الجمع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الأقصى،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كقول الراجز يصف ما أصابه من الكبر:</w:t>
      </w:r>
    </w:p>
    <w:tbl>
      <w:tblPr>
        <w:bidiVisual/>
        <w:tblW w:w="0" w:type="auto"/>
        <w:jc w:val="center"/>
        <w:tblLook w:val="01E0"/>
      </w:tblPr>
      <w:tblGrid>
        <w:gridCol w:w="2909"/>
      </w:tblGrid>
      <w:tr w:rsidR="00D75608" w:rsidRPr="00D75608" w:rsidTr="003441B5">
        <w:trPr>
          <w:trHeight w:hRule="exact" w:val="405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وكحل العينين </w:t>
            </w: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بالعواور</w:t>
            </w:r>
            <w:proofErr w:type="spell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والأصل: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بالعواوير؛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عُوَار،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والعوار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هو الرمد الذي يصيب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العين،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ومن الضرائر الشعرية التي أوردها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السيوطي: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مدُّ الجمع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المقصور،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قيل: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أراد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به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زيادة ياء قبل آخر الجمع الأقصى كقول الفرزدق يصف ناقة بالسرعة في حرّ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الهاجرة،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فقال:</w:t>
      </w:r>
    </w:p>
    <w:tbl>
      <w:tblPr>
        <w:bidiVisual/>
        <w:tblW w:w="0" w:type="auto"/>
        <w:jc w:val="center"/>
        <w:tblLook w:val="01E0"/>
      </w:tblPr>
      <w:tblGrid>
        <w:gridCol w:w="1884"/>
        <w:gridCol w:w="528"/>
        <w:gridCol w:w="1957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تنفي يداها الحصى في كل هاجرة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نفي الدنانير تنقاد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الصياريف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فالصياريف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أصله: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الصيارف؛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لأنه 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صيرف،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فاضطر الشاعر إلى إشباع كسرة الراء وزيادة الياء. 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وذكر السيوطي أن أسهل الضرورات جمع المؤنث السالم للاسم المؤنث الثلاثي ساكن العين مفتوح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الفاء،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الذي على وزن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"فَعْلة"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-بسكون العين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المفرد-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فإن قاعدة جمعه تقتضي أن تُفتح عينه في الجمع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وجوبًا؛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إتباعًا لحركة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فائه،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قال الله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تعالى: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{ﯚ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ﯜ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ﯝ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ﯞ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ﯟ}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[البقرة: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167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]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فحسرات جمع حسرة بسكون السين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المفرد،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وبفتحها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الجمع،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ويجوز تسكين عين الجمع في الشعر للضرورة الشعرية كقول الراجز:</w:t>
      </w:r>
    </w:p>
    <w:tbl>
      <w:tblPr>
        <w:bidiVisual/>
        <w:tblW w:w="0" w:type="auto"/>
        <w:jc w:val="center"/>
        <w:tblLook w:val="01E0"/>
      </w:tblPr>
      <w:tblGrid>
        <w:gridCol w:w="2909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فتستريح</w:t>
            </w:r>
            <w:proofErr w:type="gramEnd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النفس من زفراتها</w:t>
            </w:r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ومما عدَّه السيوطي من أقبح الضرائر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الشعرية: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الزيادة المؤدية لما ليس أصلًا في كلام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العرب،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كقول الشاعر:</w:t>
      </w:r>
    </w:p>
    <w:tbl>
      <w:tblPr>
        <w:bidiVisual/>
        <w:tblW w:w="0" w:type="auto"/>
        <w:jc w:val="center"/>
        <w:tblLook w:val="01E0"/>
      </w:tblPr>
      <w:tblGrid>
        <w:gridCol w:w="1913"/>
        <w:gridCol w:w="535"/>
        <w:gridCol w:w="1921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gram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وأنني</w:t>
            </w:r>
            <w:proofErr w:type="gram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حيثما يَثني الهوى بصري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من حيثما سلكوا أدنُوا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فأنظُور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يريد: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فأنظر،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اضطر فأشبع الضمة على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الظاء؛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فتولَّد عن هذا الإشباع زيادة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الواو،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وكذلك الزيادة المؤدية إلى ما يقل في الكلام كقول امرئ القيس يُشبه ناقته بعقاب خفيفة سريعة:</w:t>
      </w:r>
    </w:p>
    <w:tbl>
      <w:tblPr>
        <w:bidiVisual/>
        <w:tblW w:w="0" w:type="auto"/>
        <w:jc w:val="center"/>
        <w:tblLook w:val="01E0"/>
      </w:tblPr>
      <w:tblGrid>
        <w:gridCol w:w="1938"/>
        <w:gridCol w:w="530"/>
        <w:gridCol w:w="1901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كأني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بفتخاء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الجناحين لقوت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صيود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من العقبان طأطأت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شيمالي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يريد: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شمالي،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اضطر فأشبع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الكسرة،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وقيل: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الشيمال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لغة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الشمال،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ولكنها لغة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قليلة،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وكذلك يُستقبح النقص المُجْحِف كقول لبيد:</w:t>
      </w:r>
    </w:p>
    <w:tbl>
      <w:tblPr>
        <w:bidiVisual/>
        <w:tblW w:w="0" w:type="auto"/>
        <w:jc w:val="center"/>
        <w:tblLook w:val="01E0"/>
      </w:tblPr>
      <w:tblGrid>
        <w:gridCol w:w="1892"/>
        <w:gridCol w:w="535"/>
        <w:gridCol w:w="1942"/>
      </w:tblGrid>
      <w:tr w:rsidR="00D75608" w:rsidRPr="00D75608" w:rsidTr="003441B5">
        <w:trPr>
          <w:trHeight w:hRule="exact" w:val="315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درس المنى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بمتالع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فأباني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فتقادمت بالحبس فالثوبان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3441B5">
      <w:pPr>
        <w:pStyle w:val="a3"/>
        <w:bidi/>
        <w:spacing w:after="120" w:afterAutospacing="0"/>
        <w:rPr>
          <w:rFonts w:asciiTheme="majorBidi" w:hAnsiTheme="majorBidi" w:cstheme="majorBidi"/>
          <w:b/>
          <w:bCs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أراد الشاعر درس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المنازل،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يقال: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درس المنزل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عفى وانمحى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أثره،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ومتالع،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وأبان،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والحبس،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والثوبان: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أسماء مواضع.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ومما يستقبح من الضرائر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أيضًا: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العدول عن صيغة لأخرى كقول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الحطيئة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:</w:t>
      </w:r>
    </w:p>
    <w:tbl>
      <w:tblPr>
        <w:bidiVisual/>
        <w:tblW w:w="0" w:type="auto"/>
        <w:jc w:val="center"/>
        <w:tblLook w:val="01E0"/>
      </w:tblPr>
      <w:tblGrid>
        <w:gridCol w:w="1916"/>
        <w:gridCol w:w="536"/>
        <w:gridCol w:w="1917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فيه </w:t>
            </w:r>
            <w:proofErr w:type="gram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الرماح</w:t>
            </w:r>
            <w:proofErr w:type="gram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وفيه كل سابغة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جدلاء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محكمةٍ من نسج سلَّام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نسج سليمان. وختم السيوطي هذه المسألة بالإشارة إلى مذهب ابن مالك في الضرورة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الشعرية؛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حيث ذهب ابن مالك إلى أن الضرورة ما ليس للشاعر عنه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مندوحة،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ما ليس له عنه سعة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وفسحة،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بهذا يُخالف ما عليه مذهب سيبويه والجمهور وقد حكم النحويون على مذهب ابن مالك بالفساد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والبطلان؛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لاعتماده على مجرد التفسير اللغوي البحت لمعنى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الضرورة،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من غير مراعاة لطبيعة الشعر الذي هو لغة العواطف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والوجدان؛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فالضرورة عند ابن مالك مشتقَّة من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الضرر،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وهو النازل الذي لا مدفع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له،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فقول الشاعر:</w:t>
      </w:r>
    </w:p>
    <w:tbl>
      <w:tblPr>
        <w:bidiVisual/>
        <w:tblW w:w="0" w:type="auto"/>
        <w:jc w:val="center"/>
        <w:tblLook w:val="01E0"/>
      </w:tblPr>
      <w:tblGrid>
        <w:gridCol w:w="1927"/>
        <w:gridCol w:w="534"/>
        <w:gridCol w:w="1908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يقول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الخنا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وأبغضُ العجم ناطقًا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إلى ربنا صوت الحمار </w:t>
            </w:r>
            <w:proofErr w:type="spell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اليُجَدَّع</w:t>
            </w:r>
            <w:proofErr w:type="spell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فيه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ضرورة عند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الجمهور،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وهي إدخال أل الموصولة على صريح الفعل المضارع المبني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للمفعول؛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لمشابهته لاسم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المفعول،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وذلك لا يجوز عندهم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النثر؛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هو شاذّ قبيح لا يجيء إلا في ضرورة. 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وذهب ابن مالك إلى أن وصل أل بالمضارع وغيره جائز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اختيارًا،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ولكنه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قليل،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وعلل بجعله في الاختيار بإمكان الشاعر أن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يقول: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صوت الحمار يُجدّع. </w:t>
      </w:r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من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غير إخلال بالوزن أو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المعنى،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واعتمادًا على هذا المذهب في الضرورة لا يرى ابن مالك بأسًا من الاستشهاد لمجيء المضارع مجزومًا بلام طلب مقدرة بعد قول خبري في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الاختيار،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بقول الراجز:</w:t>
      </w:r>
    </w:p>
    <w:tbl>
      <w:tblPr>
        <w:bidiVisual/>
        <w:tblW w:w="0" w:type="auto"/>
        <w:jc w:val="center"/>
        <w:tblLook w:val="01E0"/>
      </w:tblPr>
      <w:tblGrid>
        <w:gridCol w:w="1897"/>
        <w:gridCol w:w="536"/>
        <w:gridCol w:w="1936"/>
      </w:tblGrid>
      <w:tr w:rsidR="00D75608" w:rsidRPr="00D75608" w:rsidTr="00AC27DA">
        <w:trPr>
          <w:trHeight w:hRule="exact" w:val="510"/>
          <w:jc w:val="center"/>
        </w:trPr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قلت لبواب لديه دارُها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  <w:tc>
          <w:tcPr>
            <w:tcW w:w="7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proofErr w:type="spellStart"/>
            <w:r w:rsidRPr="00D7560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  <w:proofErr w:type="spellEnd"/>
          </w:p>
        </w:tc>
        <w:tc>
          <w:tcPr>
            <w:tcW w:w="2909" w:type="dxa"/>
            <w:vAlign w:val="center"/>
          </w:tcPr>
          <w:p w:rsidR="00D75608" w:rsidRPr="00D75608" w:rsidRDefault="00D75608" w:rsidP="00D75608">
            <w:pPr>
              <w:spacing w:after="12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lang w:eastAsia="en-MY"/>
              </w:rPr>
            </w:pP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كيدًا </w:t>
            </w:r>
            <w:proofErr w:type="gramStart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>فإني</w:t>
            </w:r>
            <w:proofErr w:type="gramEnd"/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t xml:space="preserve"> حموها وجارها</w:t>
            </w:r>
            <w:r w:rsidRPr="00D75608">
              <w:rPr>
                <w:rFonts w:asciiTheme="majorBidi" w:eastAsia="Calibri" w:hAnsiTheme="majorBidi" w:cstheme="majorBidi"/>
                <w:b/>
                <w:bCs/>
                <w:sz w:val="18"/>
                <w:szCs w:val="18"/>
                <w:rtl/>
                <w:lang w:eastAsia="en-MY"/>
              </w:rPr>
              <w:br/>
            </w:r>
          </w:p>
        </w:tc>
      </w:tr>
    </w:tbl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pacing w:val="-4"/>
          <w:sz w:val="18"/>
          <w:szCs w:val="18"/>
        </w:rPr>
      </w:pPr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فهو يرى أن الأصل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لتأذن،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فحذف الشاعر اللام الجازمة وأبقى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عملها،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وكسر حرف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المضارعة،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وليس الراجز مضطرًا إلى هذا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الحذف؛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لتمكنه من أن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يقول: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إيذن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من غير إخلال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بالوزن،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أو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المعنى،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فحذف اللام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الطلبية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وإبقاء عملها إنما هو في البيت من قبيل العمل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الاختياري،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وليس كما رأى الكثير أن ذلك مقصورٌ على الشعر للضرورة الشعرية. ورفض هذا المذهب كثير من العلماء لأنه يؤدّي إلى أنه ليس في كلام العرب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ضرورة؛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إذ لا توجد لفظة إلا يمكن للشاعر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تبديلها،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ونظم لفظ آخر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مكانها،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وربّ كلمة يرى الشاعر مفعمة بالمعاني التي تجيش في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صدره،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صادقة في التعبير عنها مع ما في استعمالها من مخالفة لسنن الكلام الاختيار وقواعد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النحاة،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ولا يرى ذلك في </w:t>
      </w:r>
      <w:proofErr w:type="spellStart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>مرادفاتها</w:t>
      </w:r>
      <w:proofErr w:type="spellEnd"/>
      <w:r w:rsidRPr="00D75608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مما يُساير سنن الكلام وقواعد النحاة.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proofErr w:type="gram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ولذلك</w:t>
      </w:r>
      <w:proofErr w:type="gram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رأى أبو حيان وغيره أن ابن مالك لم يفهم قول النحويين في ضرورة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الشعر؛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فقال في غير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موضع: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"ليس هذا البيت بضرورة لأن قائله متمكن من أن يقول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كذا"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ففهم أن الضرورة في اصطلاحهم هي الإلجاء إلى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الشيء،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وليس كذلك. وقد أبطل الشاطبي مذهب ابن مالك من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وجوه،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أهمها: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إجماع النحاة على عدم اعتبار ذلك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المنزع،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وعلى إهماله في النظر القياسي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جملة،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ولو كان معتبرًا لنبَّهوا عليه.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والثاني: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أن الضرورة عند النحاة ليس معناها أنه لا يمكن في الموضع غير ما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ذُكر؛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إذ ما من ضرورة إلا يُمكن أن يعوَّض من لفظها غير هذا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اللفظ،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ينكر هذا إلا جاحد لضرورة العقل. </w:t>
      </w:r>
    </w:p>
    <w:p w:rsidR="00D75608" w:rsidRPr="00D75608" w:rsidRDefault="00D75608" w:rsidP="00D75608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هذه الراء في كلام العرب من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الشياع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في الاستعمال بمكانٍ لا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يُجهل،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ولا يكاد المتكلم ينطق بجملتين تعريان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عنها،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وقد هجرها واصل بن عطاء لمكان لُثغته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فيها،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حتى كان يناظر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الخصوم،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ويخطب على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المنبر،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فلا يُسمع في نطقه </w:t>
      </w:r>
      <w:proofErr w:type="spellStart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>راء؛</w:t>
      </w:r>
      <w:proofErr w:type="spellEnd"/>
      <w:r w:rsidRPr="00D75608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فكان إحدى الأعاجيب حتى صار مثلًا فيها.</w:t>
      </w:r>
    </w:p>
    <w:p w:rsidR="003441B5" w:rsidRDefault="003441B5" w:rsidP="003441B5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proofErr w:type="gramStart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</w:t>
      </w:r>
      <w:proofErr w:type="gramEnd"/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 والمصادر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)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طه عبد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الرؤوف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سعد،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مكتبة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الصفا،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3441B5" w:rsidRDefault="003441B5" w:rsidP="003441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محمود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فجال،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(الإصباح في شرح الاقتراح)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القلم،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1989م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</w:t>
      </w:r>
      <w:proofErr w:type="spellStart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>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محمد علي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النجار،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الكتاب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العربي،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  <w:proofErr w:type="spellEnd"/>
    </w:p>
    <w:p w:rsidR="003441B5" w:rsidRDefault="003441B5" w:rsidP="003441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الأفغاني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،بيروت،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المكتب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الإسلامي،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قنبر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تحقيق عبد السلام هارون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الهيئة المصرية العامة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للكتاب،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أبي البركات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proofErr w:type="spell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تحقيق سعيد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الجامعة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السورية،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1957م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سعيد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(من تاريخ النحو)،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1978م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1B5" w:rsidRDefault="003441B5" w:rsidP="003441B5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مازن </w:t>
      </w:r>
      <w:proofErr w:type="gram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proofErr w:type="gramEnd"/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(النحو العربي  العلة النحوية نشأتها وتطورها)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دار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الفكر،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1981م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3441B5" w:rsidRDefault="003441B5" w:rsidP="003441B5">
      <w:pPr>
        <w:pStyle w:val="a7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القاهرة،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مطبعة وادي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الملوك،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18"/>
          <w:szCs w:val="18"/>
          <w:rtl/>
        </w:rPr>
        <w:t>1954م</w:t>
      </w:r>
      <w:proofErr w:type="spellEnd"/>
      <w:r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D75608" w:rsidRPr="003441B5" w:rsidRDefault="00D75608">
      <w:pPr>
        <w:rPr>
          <w:rtl/>
        </w:rPr>
        <w:sectPr w:rsidR="00D75608" w:rsidRPr="003441B5" w:rsidSect="003441B5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</w:p>
    <w:p w:rsidR="003441B5" w:rsidRDefault="003441B5">
      <w:pPr>
        <w:rPr>
          <w:rtl/>
        </w:rPr>
        <w:sectPr w:rsidR="003441B5" w:rsidSect="00D75608">
          <w:type w:val="continuous"/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D75608" w:rsidRDefault="00D75608"/>
    <w:sectPr w:rsidR="00D75608" w:rsidSect="00D75608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038" w:rsidRDefault="00BF5038" w:rsidP="00D75608">
      <w:pPr>
        <w:spacing w:after="0" w:line="240" w:lineRule="auto"/>
      </w:pPr>
      <w:r>
        <w:separator/>
      </w:r>
    </w:p>
  </w:endnote>
  <w:endnote w:type="continuationSeparator" w:id="0">
    <w:p w:rsidR="00BF5038" w:rsidRDefault="00BF5038" w:rsidP="00D7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QCF_P57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038" w:rsidRDefault="00BF5038" w:rsidP="00D75608">
      <w:pPr>
        <w:spacing w:after="0" w:line="240" w:lineRule="auto"/>
      </w:pPr>
      <w:r>
        <w:separator/>
      </w:r>
    </w:p>
  </w:footnote>
  <w:footnote w:type="continuationSeparator" w:id="0">
    <w:p w:rsidR="00BF5038" w:rsidRDefault="00BF5038" w:rsidP="00D7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485" w:rsidRDefault="0078765B">
    <w:pPr>
      <w:pStyle w:val="a4"/>
      <w:rPr>
        <w:lang w:bidi="ar-EG"/>
      </w:rPr>
    </w:pPr>
    <w:r>
      <w:rPr>
        <w:noProof/>
      </w:rPr>
      <w:pict>
        <v:group id="_x0000_s1032" style="position:absolute;left:0;text-align:left;margin-left:3.5pt;margin-top:76.05pt;width:333.5pt;height:619.25pt;z-index:251661312" coordorigin="2622,2230" coordsize="6670,12385">
          <v:line id="_x0000_s1033" style="position:absolute" from="2645,14400" to="9266,14400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09;top:14161;width:754;height:454" fillcolor="#4f81bd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7B1485" w:rsidRPr="00907733" w:rsidRDefault="0078765B" w:rsidP="000C5C13">
                  <w:pPr>
                    <w:spacing w:line="280" w:lineRule="exact"/>
                    <w:jc w:val="center"/>
                    <w:rPr>
                      <w:rFonts w:cs="AL-Mateen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="00CA1704"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 w:rsidR="00CA1704">
                    <w:rPr>
                      <w:rStyle w:val="a5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58</w:t>
                  </w:r>
                  <w:r w:rsidRPr="00907733">
                    <w:rPr>
                      <w:rStyle w:val="a5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2;top:2497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2;top:2278;width:2551;height:397" fillcolor="#369" stroked="f">
            <v:shadow on="t" color="#b2b2b2" opacity="52429f" offset="1pt,0" offset2="-4pt,-4pt"/>
            <v:textpath style="font-family:&quot;Al-Mothnna&quot;;v-text-kern:t" trim="t" fitpath="t" string="أصول النحو [1]"/>
          </v:shape>
          <v:rect id="_x0000_s1037" style="position:absolute;left:7591;top:2230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7B1485" w:rsidRPr="00E31343" w:rsidRDefault="00BF5038" w:rsidP="000C5C13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3;top:2326;width:1417;height:317" stroked="f">
            <v:shadow on="t" color="black" opacity="52429f" offset="1pt,0" offset2="-4pt,-4pt"/>
            <v:textpath style="font-family:&quot;AGA Granada Regular&quot;;v-text-kern:t" trim="t" fitpath="t" string="الدرس الثالث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9218"/>
    <o:shapelayout v:ext="edit">
      <o:idmap v:ext="edit" data="1"/>
      <o:rules v:ext="edit">
        <o:r id="V:Rule2" type="connector" idref="#_x0000_s103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5608"/>
    <w:rsid w:val="0003694A"/>
    <w:rsid w:val="002C6C85"/>
    <w:rsid w:val="003441B5"/>
    <w:rsid w:val="005E5C5D"/>
    <w:rsid w:val="0078765B"/>
    <w:rsid w:val="007E639D"/>
    <w:rsid w:val="008B2832"/>
    <w:rsid w:val="00996257"/>
    <w:rsid w:val="009D0A1F"/>
    <w:rsid w:val="00BF5038"/>
    <w:rsid w:val="00CA1704"/>
    <w:rsid w:val="00CA6391"/>
    <w:rsid w:val="00D75608"/>
    <w:rsid w:val="00EC2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560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Char"/>
    <w:rsid w:val="00D75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رأس صفحة Char"/>
    <w:basedOn w:val="a0"/>
    <w:link w:val="a4"/>
    <w:rsid w:val="00D7560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75608"/>
  </w:style>
  <w:style w:type="paragraph" w:styleId="a6">
    <w:name w:val="footer"/>
    <w:basedOn w:val="a"/>
    <w:link w:val="Char0"/>
    <w:uiPriority w:val="99"/>
    <w:semiHidden/>
    <w:unhideWhenUsed/>
    <w:rsid w:val="00D75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75608"/>
  </w:style>
  <w:style w:type="paragraph" w:styleId="a7">
    <w:name w:val="List Paragraph"/>
    <w:basedOn w:val="a"/>
    <w:uiPriority w:val="34"/>
    <w:qFormat/>
    <w:rsid w:val="003441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2013-06-13T03:59:00Z</dcterms:created>
  <dcterms:modified xsi:type="dcterms:W3CDTF">2013-06-16T11:18:00Z</dcterms:modified>
</cp:coreProperties>
</file>