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CD7B7D" w:rsidRDefault="00CD7B7D">
      <w:pPr>
        <w:rPr>
          <w:rFonts w:asciiTheme="majorBidi" w:hAnsiTheme="majorBidi" w:cstheme="majorBidi"/>
          <w:sz w:val="48"/>
          <w:szCs w:val="48"/>
          <w:rtl/>
        </w:rPr>
      </w:pPr>
      <w:r w:rsidRPr="00CD7B7D">
        <w:rPr>
          <w:rFonts w:asciiTheme="majorBidi" w:eastAsia="Calibri" w:hAnsiTheme="majorBidi" w:cstheme="majorBidi"/>
          <w:sz w:val="48"/>
          <w:szCs w:val="48"/>
          <w:rtl/>
        </w:rPr>
        <w:t xml:space="preserve">الأصل الأول من أصول النحو </w:t>
      </w:r>
      <w:proofErr w:type="spellStart"/>
      <w:r w:rsidRPr="00CD7B7D">
        <w:rPr>
          <w:rFonts w:asciiTheme="majorBidi" w:eastAsia="Calibri" w:hAnsiTheme="majorBidi" w:cstheme="majorBidi"/>
          <w:sz w:val="48"/>
          <w:szCs w:val="48"/>
          <w:rtl/>
        </w:rPr>
        <w:t>الغالبة:</w:t>
      </w:r>
      <w:proofErr w:type="spellEnd"/>
      <w:r w:rsidRPr="00CD7B7D">
        <w:rPr>
          <w:rFonts w:asciiTheme="majorBidi" w:eastAsia="Calibri" w:hAnsiTheme="majorBidi" w:cstheme="majorBidi"/>
          <w:sz w:val="48"/>
          <w:szCs w:val="48"/>
          <w:rtl/>
        </w:rPr>
        <w:t xml:space="preserve"> </w:t>
      </w:r>
      <w:proofErr w:type="gramStart"/>
      <w:r w:rsidRPr="00CD7B7D">
        <w:rPr>
          <w:rFonts w:asciiTheme="majorBidi" w:eastAsia="Calibri" w:hAnsiTheme="majorBidi" w:cstheme="majorBidi"/>
          <w:sz w:val="48"/>
          <w:szCs w:val="48"/>
          <w:rtl/>
        </w:rPr>
        <w:t>السماع</w:t>
      </w:r>
      <w:proofErr w:type="gramEnd"/>
    </w:p>
    <w:p w:rsidR="00B12B4F" w:rsidRDefault="00B12B4F" w:rsidP="00D7764D">
      <w:pPr>
        <w:pStyle w:val="a3"/>
        <w:jc w:val="center"/>
      </w:pPr>
      <w:r>
        <w:rPr>
          <w:rFonts w:hint="cs"/>
          <w:rtl/>
        </w:rPr>
        <w:t>بحث فى النحو</w:t>
      </w:r>
      <w:r>
        <w:br/>
      </w:r>
      <w:r>
        <w:rPr>
          <w:rFonts w:hint="cs"/>
          <w:rtl/>
        </w:rPr>
        <w:t xml:space="preserve">إعداد </w:t>
      </w:r>
      <w:proofErr w:type="spellStart"/>
      <w:r w:rsidR="00D7764D">
        <w:rPr>
          <w:rFonts w:hint="cs"/>
          <w:rtl/>
        </w:rPr>
        <w:t>أ/</w:t>
      </w:r>
      <w:proofErr w:type="spellEnd"/>
      <w:r w:rsidR="00D7764D">
        <w:rPr>
          <w:rFonts w:hint="cs"/>
          <w:rtl/>
        </w:rPr>
        <w:t xml:space="preserve"> هالة أحمد </w:t>
      </w:r>
      <w:proofErr w:type="spellStart"/>
      <w:r w:rsidR="00D7764D">
        <w:rPr>
          <w:rFonts w:hint="cs"/>
          <w:rtl/>
        </w:rPr>
        <w:t>عطاالله</w:t>
      </w:r>
      <w:proofErr w:type="spellEnd"/>
      <w:r w:rsidR="00D7764D">
        <w:t xml:space="preserve"> </w:t>
      </w:r>
      <w:r>
        <w:br/>
      </w:r>
      <w:r>
        <w:rPr>
          <w:rFonts w:hint="cs"/>
          <w:rtl/>
        </w:rPr>
        <w:t>قسم اللغة العربية</w:t>
      </w:r>
      <w:r>
        <w:br/>
      </w:r>
      <w:r>
        <w:rPr>
          <w:rFonts w:hint="cs"/>
          <w:rtl/>
        </w:rPr>
        <w:t xml:space="preserve">كلية </w:t>
      </w:r>
      <w:proofErr w:type="spellStart"/>
      <w:r>
        <w:rPr>
          <w:rFonts w:hint="cs"/>
          <w:rtl/>
        </w:rPr>
        <w:t>اللغات–</w:t>
      </w:r>
      <w:proofErr w:type="spellEnd"/>
      <w:r>
        <w:rPr>
          <w:rFonts w:hint="cs"/>
          <w:rtl/>
        </w:rPr>
        <w:t xml:space="preserve"> جامعة المدينة العالمية </w:t>
      </w:r>
      <w:r>
        <w:br/>
      </w:r>
      <w:r>
        <w:rPr>
          <w:rFonts w:hint="cs"/>
          <w:rtl/>
        </w:rPr>
        <w:t xml:space="preserve">شاه علم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ماليزيا</w:t>
      </w:r>
      <w:r>
        <w:br/>
      </w:r>
      <w:r w:rsidR="00D7764D">
        <w:t>hala.ahmed@mediu.ws</w:t>
      </w:r>
    </w:p>
    <w:p w:rsidR="00CD7B7D" w:rsidRPr="00B12B4F" w:rsidRDefault="00CD7B7D" w:rsidP="00CD7B7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CD7B7D" w:rsidRPr="00B12B4F" w:rsidSect="00D7764D">
          <w:headerReference w:type="even" r:id="rId7"/>
          <w:pgSz w:w="11906" w:h="16838" w:code="9"/>
          <w:pgMar w:top="851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CD7B7D" w:rsidRPr="00CD7B7D" w:rsidRDefault="00CD7B7D" w:rsidP="00CD7B7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الأصل الأول من أصول النحو </w:t>
      </w:r>
      <w:proofErr w:type="spellStart"/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الغالبة:</w:t>
      </w:r>
      <w:proofErr w:type="spellEnd"/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السماع</w:t>
      </w:r>
    </w:p>
    <w:p w:rsidR="00CD7B7D" w:rsidRPr="00CD7B7D" w:rsidRDefault="00CD7B7D" w:rsidP="00CD7B7D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قرآن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الكريم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الحديث النبوى الشريف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عربية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CD7B7D" w:rsidRPr="00CD7B7D" w:rsidRDefault="00CD7B7D" w:rsidP="00CD7B7D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CD7B7D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CD7B7D" w:rsidRPr="00CD7B7D" w:rsidRDefault="00CD7B7D" w:rsidP="00CD7B7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</w:t>
      </w:r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الأصل الأول من أصول النحو </w:t>
      </w:r>
      <w:proofErr w:type="spellStart"/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الغالبة:</w:t>
      </w:r>
      <w:proofErr w:type="spellEnd"/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السماع</w:t>
      </w:r>
    </w:p>
    <w:p w:rsidR="00CD7B7D" w:rsidRPr="00CD7B7D" w:rsidRDefault="00CD7B7D" w:rsidP="00B12B4F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B12B4F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CD7B7D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ذكر السيوطي أنه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-يعني: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بالسماع-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ما ثبت في كلام من يوثق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بفصاحته،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فشمل هذا كلام الله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تعالى،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وهو القرآن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الكريم،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وهو أفصح كلام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وأبلغه،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وكلام نبيه 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الحديث النبوي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الشريف،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وكلام العرب قبل بعثته وفي زمنه وبعده إلى أن فسدت الألسنة بكثرة المولدين نظمًا ونثرًا من مسلم أو كافر. فهذه ثلاثة أنواع لا بد في كل منها من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الثبوت: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أما القرآن الكريم فكل ما ورد أنه قُرئ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جاز الاحتجاج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العربية،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سواء كان متواترًا أم آحادًا أم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شاذًّا،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فالقرآن الكريم -كما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قيل-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فوق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والفقه،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والمذاهب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كلها،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فهو الأصل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الأصول،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وافقه فهو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مقبول،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خالفه فهو مردودٌ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ومرذولٌ،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أن لغة القرآن الكريم هي أفصح أساليب العربية على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الإطلاق،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وأن الكتاب أعربُ وأقوى من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الشعر،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قال الفراء -رحمه الله تعالى. </w:t>
      </w: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ولقد صدق أبو عمرو الداني المتوفى سنة أربع وأربعين وأربعمائة من الهجرة حين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وأئمة القراءة لا تعمل من القراءات في شيء على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الأفشى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اللغة،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والأقيس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العربية؛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بل على الأثبت في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الأثر،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والأصح في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النقل،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والرواية إذا ثبتت عنهم لم يردَّها قياس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عربية،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فشوّ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لغة؛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القراءة سُنة متبّعة فلزم قبولها والمصير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إليها،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"وقد أطبق الناس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-يعني: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أجمعوا-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الاحتجاج بالقراءات الشاذَّة في العربية إذا لم تُخالف قياسًا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معروفًا؛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بل ولو خالفته يُحتج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مثل ذلك الحرف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بعينه،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لم يجز القياس عليه كما يُحتجّ بالمجمع على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وروده،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ومخالفته القياس في ذلك الوارد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بعينه،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يقاس عليه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نحو: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استحوذ،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ويأبى".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أوضح السيوطي في هذه الفقرة أن القراءات الشاذة أجمع النحويون على الاستشهاد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تقعيد القواعد إذا لم تُخالف قياسًا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معروفًا،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خالفته أجمعوا على الاحتجاج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أيضًا لكن في خصوص ما وردت فيه من 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غير أن يُقاس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عليها،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أشار إلى ذلك ابن جني في غير موضع من (الخصائص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).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7B7D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ثم أورد السيوطي مثالين للاحتجاج بالقراءات الشّاذّة </w:t>
      </w:r>
      <w:proofErr w:type="spellStart"/>
      <w:r w:rsidRPr="00CD7B7D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>فقال:</w:t>
      </w:r>
      <w:proofErr w:type="spellEnd"/>
      <w:r w:rsidRPr="00CD7B7D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"وما ذكرته من الاحتجاج بالقراءات </w:t>
      </w:r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الشاذة لا أعلم فيه خلافًا بين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النحاة،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وإن اختُلف في الاحتجاج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بها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في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الفقه،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ومن ثمَّ احْتُجَّ على جواز إدخال لام الأمر على المضارع المبدوء بتاء الخطاب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بقراءة: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"فبذلك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فلتفرحوا"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(يونس: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58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)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احتُجَّ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بها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على إدخالها على المبدوء بالنون بالقراءة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المتواترة: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{ﮭ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ﮮ}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[العنكبوت:</w:t>
      </w:r>
      <w:proofErr w:type="spellEnd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12</w:t>
      </w:r>
      <w:proofErr w:type="spellStart"/>
      <w:r w:rsidRPr="00CD7B7D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]</w:t>
      </w:r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واحتج على صحة من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الله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أصله: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لاه،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بما قرئ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شاذًّا: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"وهو الذي في السماء لاهٌ وفي الأرض 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لاهٌ"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الزخرف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: 84</w:t>
      </w:r>
      <w:proofErr w:type="spellStart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>)"</w:t>
      </w:r>
      <w:proofErr w:type="spellEnd"/>
      <w:r w:rsidRPr="00CD7B7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47622A" w:rsidRDefault="0047622A" w:rsidP="0047622A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47622A" w:rsidRDefault="0047622A" w:rsidP="0047622A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47622A" w:rsidRDefault="0047622A" w:rsidP="0047622A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7622A" w:rsidRDefault="0047622A" w:rsidP="0047622A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47622A" w:rsidRDefault="0047622A" w:rsidP="0047622A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D7B7D" w:rsidRPr="0047622A" w:rsidRDefault="00CD7B7D" w:rsidP="00CD7B7D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CD7B7D" w:rsidRPr="00CD7B7D" w:rsidRDefault="00CD7B7D" w:rsidP="00CD7B7D">
      <w:pPr>
        <w:bidi w:val="0"/>
        <w:spacing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D7B7D">
        <w:rPr>
          <w:rFonts w:asciiTheme="majorBidi" w:eastAsia="Calibri" w:hAnsiTheme="majorBidi" w:cstheme="majorBidi"/>
          <w:b/>
          <w:bCs/>
          <w:sz w:val="18"/>
          <w:szCs w:val="18"/>
          <w:rtl/>
        </w:rPr>
        <w:br w:type="page"/>
      </w: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CD7B7D" w:rsidRPr="00CD7B7D" w:rsidRDefault="00CD7B7D" w:rsidP="00CD7B7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  <w:sectPr w:rsidR="00CD7B7D" w:rsidRPr="00CD7B7D" w:rsidSect="00CD7B7D">
          <w:type w:val="continuous"/>
          <w:pgSz w:w="11906" w:h="16838" w:code="9"/>
          <w:pgMar w:top="2835" w:right="2552" w:bottom="2835" w:left="2552" w:header="709" w:footer="709" w:gutter="0"/>
          <w:cols w:num="2" w:space="708"/>
          <w:titlePg/>
          <w:bidi/>
          <w:rtlGutter/>
          <w:docGrid w:linePitch="360"/>
        </w:sectPr>
      </w:pPr>
    </w:p>
    <w:p w:rsidR="00CD7B7D" w:rsidRDefault="00CD7B7D" w:rsidP="00CD7B7D">
      <w:pPr>
        <w:pStyle w:val="a3"/>
        <w:bidi/>
        <w:spacing w:before="0" w:beforeAutospacing="0" w:after="120" w:afterAutospacing="0" w:line="500" w:lineRule="exact"/>
        <w:jc w:val="lowKashida"/>
        <w:rPr>
          <w:rFonts w:ascii="Lotus Linotype" w:hAnsi="Lotus Linotype" w:cs="AL-Hotham"/>
          <w:sz w:val="32"/>
          <w:szCs w:val="32"/>
          <w:rtl/>
        </w:rPr>
        <w:sectPr w:rsidR="00CD7B7D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CD7B7D" w:rsidRPr="000F0C3C" w:rsidRDefault="00CD7B7D" w:rsidP="00CD7B7D">
      <w:pPr>
        <w:pStyle w:val="a3"/>
        <w:bidi/>
        <w:spacing w:before="0" w:beforeAutospacing="0" w:after="120" w:afterAutospacing="0" w:line="500" w:lineRule="exact"/>
        <w:jc w:val="lowKashida"/>
        <w:rPr>
          <w:rFonts w:ascii="Lotus Linotype" w:hAnsi="Lotus Linotype" w:cs="AL-Hotham"/>
          <w:sz w:val="32"/>
          <w:szCs w:val="32"/>
          <w:rtl/>
        </w:rPr>
      </w:pPr>
    </w:p>
    <w:p w:rsidR="00CD7B7D" w:rsidRDefault="00CD7B7D"/>
    <w:sectPr w:rsidR="00CD7B7D" w:rsidSect="00CD7B7D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D0" w:rsidRDefault="00CF13D0" w:rsidP="00CD7B7D">
      <w:pPr>
        <w:spacing w:after="0" w:line="240" w:lineRule="auto"/>
      </w:pPr>
      <w:r>
        <w:separator/>
      </w:r>
    </w:p>
  </w:endnote>
  <w:endnote w:type="continuationSeparator" w:id="0">
    <w:p w:rsidR="00CF13D0" w:rsidRDefault="00CF13D0" w:rsidP="00CD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D0" w:rsidRDefault="00CF13D0" w:rsidP="00CD7B7D">
      <w:pPr>
        <w:spacing w:after="0" w:line="240" w:lineRule="auto"/>
      </w:pPr>
      <w:r>
        <w:separator/>
      </w:r>
    </w:p>
  </w:footnote>
  <w:footnote w:type="continuationSeparator" w:id="0">
    <w:p w:rsidR="00CF13D0" w:rsidRDefault="00CF13D0" w:rsidP="00CD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0D2A10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0D2A10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DE0369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DE0369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74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CF13D0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رابع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D7B7D"/>
    <w:rsid w:val="000D2A10"/>
    <w:rsid w:val="002E570A"/>
    <w:rsid w:val="003C58B4"/>
    <w:rsid w:val="0047622A"/>
    <w:rsid w:val="004B11F4"/>
    <w:rsid w:val="007E639D"/>
    <w:rsid w:val="00B12B4F"/>
    <w:rsid w:val="00C82D8B"/>
    <w:rsid w:val="00CA6391"/>
    <w:rsid w:val="00CD7B7D"/>
    <w:rsid w:val="00CF13D0"/>
    <w:rsid w:val="00D7764D"/>
    <w:rsid w:val="00DE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B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CD7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CD7B7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7B7D"/>
  </w:style>
  <w:style w:type="paragraph" w:styleId="a6">
    <w:name w:val="footer"/>
    <w:basedOn w:val="a"/>
    <w:link w:val="Char0"/>
    <w:uiPriority w:val="99"/>
    <w:semiHidden/>
    <w:unhideWhenUsed/>
    <w:rsid w:val="00CD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D7B7D"/>
  </w:style>
  <w:style w:type="paragraph" w:styleId="a7">
    <w:name w:val="List Paragraph"/>
    <w:basedOn w:val="a"/>
    <w:uiPriority w:val="34"/>
    <w:qFormat/>
    <w:rsid w:val="00476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2013-06-13T04:12:00Z</dcterms:created>
  <dcterms:modified xsi:type="dcterms:W3CDTF">2013-06-16T11:27:00Z</dcterms:modified>
</cp:coreProperties>
</file>