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391" w:rsidRPr="00566009" w:rsidRDefault="00566009" w:rsidP="00566009">
      <w:pPr>
        <w:jc w:val="center"/>
        <w:rPr>
          <w:rFonts w:asciiTheme="majorBidi" w:hAnsiTheme="majorBidi" w:cstheme="majorBidi"/>
          <w:sz w:val="48"/>
          <w:szCs w:val="48"/>
          <w:rtl/>
        </w:rPr>
      </w:pPr>
      <w:r w:rsidRPr="00566009">
        <w:rPr>
          <w:rFonts w:asciiTheme="majorBidi" w:eastAsia="Calibri" w:hAnsiTheme="majorBidi" w:cstheme="majorBidi"/>
          <w:sz w:val="48"/>
          <w:szCs w:val="48"/>
          <w:rtl/>
        </w:rPr>
        <w:t>تقسيم الألفاظ إلى واجب وممتنع وجائز</w:t>
      </w:r>
    </w:p>
    <w:p w:rsidR="0010312C" w:rsidRDefault="0010312C" w:rsidP="00D83549">
      <w:pPr>
        <w:pStyle w:val="a3"/>
        <w:jc w:val="center"/>
      </w:pPr>
      <w:r>
        <w:rPr>
          <w:rFonts w:hint="cs"/>
          <w:rtl/>
        </w:rPr>
        <w:t>بحث فى النحو</w:t>
      </w:r>
      <w:r>
        <w:br/>
      </w:r>
      <w:r w:rsidR="00D83549">
        <w:rPr>
          <w:rtl/>
        </w:rPr>
        <w:t xml:space="preserve">إعداد </w:t>
      </w:r>
      <w:proofErr w:type="spellStart"/>
      <w:r w:rsidR="00D83549">
        <w:rPr>
          <w:rtl/>
        </w:rPr>
        <w:t>أ/</w:t>
      </w:r>
      <w:proofErr w:type="spellEnd"/>
      <w:r w:rsidR="00D83549">
        <w:rPr>
          <w:rtl/>
        </w:rPr>
        <w:t xml:space="preserve"> هالة أحمد </w:t>
      </w:r>
      <w:proofErr w:type="spellStart"/>
      <w:r w:rsidR="00D83549">
        <w:rPr>
          <w:rtl/>
        </w:rPr>
        <w:t>عطاالله</w:t>
      </w:r>
      <w:proofErr w:type="spellEnd"/>
      <w:r w:rsidR="00D83549">
        <w:rPr>
          <w:rtl/>
        </w:rPr>
        <w:t xml:space="preserve"> </w:t>
      </w:r>
      <w:r w:rsidR="00D83549">
        <w:br/>
      </w:r>
      <w:r w:rsidR="00D83549">
        <w:rPr>
          <w:rtl/>
        </w:rPr>
        <w:t>قسم اللغة العربية</w:t>
      </w:r>
      <w:r w:rsidR="00D83549">
        <w:br/>
      </w:r>
      <w:r w:rsidR="00D83549">
        <w:rPr>
          <w:rtl/>
        </w:rPr>
        <w:t xml:space="preserve">كلية </w:t>
      </w:r>
      <w:proofErr w:type="spellStart"/>
      <w:r w:rsidR="00D83549">
        <w:rPr>
          <w:rtl/>
        </w:rPr>
        <w:t>اللغات–</w:t>
      </w:r>
      <w:proofErr w:type="spellEnd"/>
      <w:r w:rsidR="00D83549">
        <w:rPr>
          <w:rtl/>
        </w:rPr>
        <w:t xml:space="preserve"> جامعة المدينة العالمية </w:t>
      </w:r>
      <w:r w:rsidR="00D83549">
        <w:br/>
      </w:r>
      <w:r w:rsidR="00D83549">
        <w:rPr>
          <w:rtl/>
        </w:rPr>
        <w:t xml:space="preserve">شاه علم </w:t>
      </w:r>
      <w:proofErr w:type="spellStart"/>
      <w:r w:rsidR="00D83549">
        <w:rPr>
          <w:rtl/>
        </w:rPr>
        <w:t>-</w:t>
      </w:r>
      <w:proofErr w:type="spellEnd"/>
      <w:r w:rsidR="00D83549">
        <w:rPr>
          <w:rtl/>
        </w:rPr>
        <w:t xml:space="preserve"> ماليزيا</w:t>
      </w:r>
      <w:r w:rsidR="00D83549">
        <w:br/>
        <w:t>hala.ahmed@mediu.ws</w:t>
      </w:r>
    </w:p>
    <w:p w:rsidR="00566009" w:rsidRPr="0010312C" w:rsidRDefault="00566009" w:rsidP="00566009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</w:rPr>
        <w:sectPr w:rsidR="00566009" w:rsidRPr="0010312C" w:rsidSect="007E639D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566009" w:rsidRPr="00566009" w:rsidRDefault="00566009" w:rsidP="00566009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66009">
        <w:rPr>
          <w:rFonts w:asciiTheme="majorBidi" w:hAnsiTheme="majorBidi" w:cstheme="majorBidi"/>
          <w:b/>
          <w:bCs/>
          <w:sz w:val="18"/>
          <w:szCs w:val="18"/>
        </w:rPr>
        <w:lastRenderedPageBreak/>
        <w:br/>
      </w:r>
      <w:r w:rsidRPr="0056600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الخلاصة – هذا البحث يبحث فى </w:t>
      </w:r>
      <w:r w:rsidRPr="00566009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تقسيم الألفاظ إلى واجب وممتنع وجائز</w:t>
      </w:r>
    </w:p>
    <w:p w:rsidR="00566009" w:rsidRPr="00566009" w:rsidRDefault="00566009" w:rsidP="00566009">
      <w:pPr>
        <w:pStyle w:val="a3"/>
        <w:jc w:val="right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6600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الكلمات المفتاحية –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واجب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ممتنع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 </w:t>
      </w: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جائز</w:t>
      </w:r>
      <w:r w:rsidRPr="0056600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</w:p>
    <w:p w:rsidR="00566009" w:rsidRPr="00566009" w:rsidRDefault="00566009" w:rsidP="00566009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  <w:lang w:bidi="ar-EG"/>
        </w:rPr>
      </w:pPr>
      <w:r w:rsidRPr="00566009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  <w:r w:rsidRPr="00566009">
        <w:rPr>
          <w:rFonts w:asciiTheme="majorBidi" w:hAnsiTheme="majorBidi" w:cstheme="majorBidi"/>
          <w:b/>
          <w:bCs/>
          <w:sz w:val="18"/>
          <w:szCs w:val="18"/>
          <w:lang w:bidi="ar-EG"/>
        </w:rPr>
        <w:t>.I</w:t>
      </w:r>
    </w:p>
    <w:p w:rsidR="00566009" w:rsidRPr="00566009" w:rsidRDefault="00566009" w:rsidP="00566009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6600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الحمد لله رب العالمين، والصلاة والسلام على أشرف المرسلين سيدنا محمد، وعلى آله وصحبه والتابعين ، سوف نقوم في هذا البحث بمعرفة </w:t>
      </w:r>
      <w:r w:rsidRPr="00566009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تقسيم الألفاظ إلى واجب وممتنع وجائز</w:t>
      </w:r>
    </w:p>
    <w:p w:rsidR="00566009" w:rsidRPr="00566009" w:rsidRDefault="00566009" w:rsidP="0010312C">
      <w:pPr>
        <w:pStyle w:val="a3"/>
        <w:jc w:val="center"/>
        <w:rPr>
          <w:rFonts w:asciiTheme="majorBidi" w:hAnsiTheme="majorBidi" w:cstheme="majorBidi"/>
          <w:b/>
          <w:bCs/>
          <w:sz w:val="18"/>
          <w:szCs w:val="18"/>
        </w:rPr>
      </w:pPr>
      <w:r w:rsidRPr="00566009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  <w:r w:rsidR="0010312C">
        <w:rPr>
          <w:rFonts w:asciiTheme="majorBidi" w:hAnsiTheme="majorBidi" w:cstheme="majorBidi" w:hint="cs"/>
          <w:b/>
          <w:bCs/>
          <w:sz w:val="18"/>
          <w:szCs w:val="18"/>
          <w:rtl/>
        </w:rPr>
        <w:t>موضوع</w:t>
      </w:r>
      <w:r w:rsidRPr="0056600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المقال</w:t>
      </w:r>
      <w:r w:rsidRPr="00566009">
        <w:rPr>
          <w:rFonts w:asciiTheme="majorBidi" w:hAnsiTheme="majorBidi" w:cstheme="majorBidi"/>
          <w:b/>
          <w:bCs/>
          <w:sz w:val="18"/>
          <w:szCs w:val="18"/>
        </w:rPr>
        <w:t>II</w:t>
      </w:r>
    </w:p>
    <w:p w:rsidR="00566009" w:rsidRPr="00566009" w:rsidRDefault="00566009" w:rsidP="00566009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66009">
        <w:rPr>
          <w:rFonts w:asciiTheme="majorBidi" w:hAnsiTheme="majorBidi" w:cstheme="majorBidi"/>
          <w:b/>
          <w:bCs/>
          <w:sz w:val="18"/>
          <w:szCs w:val="18"/>
          <w:rtl/>
        </w:rPr>
        <w:t>ذكر السيوطي أن ابن الطراوة قسَّم الألفاظ إلى ثلاثة أقسام: واجب، وممتنع، وجائز. أما الواجب من الألفاظ فرجل وقائم ونحوهما مما يجب أن يكون في الوجود ولا ينفك الوجود عنه أي: لا يصحّ عند العقل عدمه، والممتنع: لا قائم ولا رجل؛ إذ يمتنع أن يخلو الوجود من أن يكون لا رجل فيه ولا قائم، أي: يمتنع نفي وجود ما يجب أن يكون في الوجود، فنفي الواجب ممتنع، والجائز أي: الذي يقبل العقل وجوده وعدمه نحو: زيد وعمرو؛ لأنه جائز أن يكون وأن لا يكون. قال ابن الطراوة: "فكلام مركب من واجبين لا يجوز نحو: رجل قائم؛ لأنه لا فائدة فيه أي: لأن مدلوله لا يغيب عن العقل، فلم تحصل فائدة من الكلام، فكان ممتنعًا، وكلام مركب من ممتنعين أيضًا لا يجوز نحو: لا رجل لا قائم؛ لأنه كذب ولا فائدة فيه أي: لأنه مركب من جزأين كاذبين، فالعقل لا يقبله بحسب العادة، وكلام مركب من ممتنع وجائز لا يجوز، ولا من واجب وممتنع نحو: زيد لا قائم، ورجل لا قائم لأنه كذب؛ إذ معناه لا قائم في الوجود، وكلام مركب من جائزين لا يجوز نحو: زيد أخوك لأنه معلوم، لكن بتأخيره صار واجبًا؛ فصح الإخبار به، لأنه مجهول في حق المخاطب؛ فالجائز يصير واجبًا بتأخيره، ولو قلت: زيد قائم صح. لأنه مركب من جائز وواجب، فلو قدمت وقلت: قائم زيد لم يجز؛ لأن زيد صار بتأخيره واجبًا فصار كلامه مركبًا من واجبين، فصار بمنزلة قائم رجل.</w:t>
      </w:r>
    </w:p>
    <w:p w:rsidR="00566009" w:rsidRDefault="00566009" w:rsidP="00566009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66009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قال أبو حيان: "وهذا مذهب غريب أي: خارج عن قانون العربية، وما قاله -أي: ابن الطراوة-: من أن الجائز يصير بتأخيره واجبًا. ممنوع لأن معناه مقدمًا ومؤخرًا واحد". </w:t>
      </w:r>
    </w:p>
    <w:p w:rsidR="00566009" w:rsidRDefault="00566009" w:rsidP="00566009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566009" w:rsidRPr="00566009" w:rsidRDefault="00566009" w:rsidP="00566009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</w:p>
    <w:p w:rsidR="004639A3" w:rsidRDefault="004639A3" w:rsidP="004639A3">
      <w:pPr>
        <w:widowControl w:val="0"/>
        <w:spacing w:after="120" w:line="240" w:lineRule="auto"/>
        <w:jc w:val="center"/>
        <w:rPr>
          <w:rFonts w:asciiTheme="majorBidi" w:eastAsia="Calibri" w:hAnsiTheme="majorBidi" w:cstheme="majorBidi"/>
          <w:b/>
          <w:bCs/>
          <w:sz w:val="18"/>
          <w:szCs w:val="18"/>
        </w:rPr>
      </w:pPr>
      <w:r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المراجع والمصادر</w:t>
      </w:r>
    </w:p>
    <w:p w:rsidR="004639A3" w:rsidRDefault="004639A3" w:rsidP="004639A3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جلال الدين عبد الرحمن بن كمال السيوطي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(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الاقتراح في علم أصول النحو) ، تحقيق طه عبد الرؤوف سعد، مكتبة الصفا، 1999م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</w:p>
    <w:p w:rsidR="004639A3" w:rsidRDefault="004639A3" w:rsidP="004639A3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محمود فجال، دمشق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(الإصباح في شرح الاقتراح)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 دار القلم، 1989م.</w:t>
      </w:r>
    </w:p>
    <w:p w:rsidR="004639A3" w:rsidRDefault="004639A3" w:rsidP="004639A3">
      <w:pPr>
        <w:numPr>
          <w:ilvl w:val="0"/>
          <w:numId w:val="2"/>
        </w:numPr>
        <w:spacing w:after="120" w:line="240" w:lineRule="auto"/>
        <w:jc w:val="lowKashida"/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ابن 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(الخصائص)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تحقيق محمد علي النجار، دار الكتاب العربي، 1953م</w:t>
      </w:r>
      <w:r>
        <w:rPr>
          <w:rFonts w:asciiTheme="majorBidi" w:eastAsia="SimSun" w:hAnsiTheme="majorBidi" w:cstheme="majorBidi"/>
          <w:b/>
          <w:bCs/>
          <w:sz w:val="18"/>
          <w:szCs w:val="18"/>
          <w:rtl/>
          <w:lang w:bidi="ar-EG"/>
        </w:rPr>
        <w:t>.</w:t>
      </w:r>
    </w:p>
    <w:p w:rsidR="004639A3" w:rsidRDefault="004639A3" w:rsidP="004639A3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أبي البركات الأنباري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،(الإغراب في جدول الإعراب)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تحقيق سعيد الأفغاني ، مطبعة الجامعة السورية، 1957م.</w:t>
      </w:r>
    </w:p>
    <w:p w:rsidR="004639A3" w:rsidRDefault="004639A3" w:rsidP="004639A3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سعيد 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(في أصول النحو)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،بيروت، المكتب الإسلامي، 1987م. </w:t>
      </w:r>
    </w:p>
    <w:p w:rsidR="004639A3" w:rsidRDefault="004639A3" w:rsidP="004639A3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عمرو بن عثمان بن قنبر سيبويه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 (كتاب سيبويه)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 تحقيق عبد السلام هارون ، الهيئة المصرية العامة للكتاب، 1977م.</w:t>
      </w:r>
    </w:p>
    <w:p w:rsidR="004639A3" w:rsidRDefault="004639A3" w:rsidP="004639A3">
      <w:pPr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الأنباري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أبي البركات الأنباري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(لمع الأدلة في أصول النحو)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تحقيق سعيد الأفغاني، مطبعة الجامعة السورية،  1957م.</w:t>
      </w:r>
    </w:p>
    <w:p w:rsidR="004639A3" w:rsidRDefault="004639A3" w:rsidP="004639A3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سعيد الأفغاني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(من تاريخ النحو)،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دار الفكر، 1978م.</w:t>
      </w:r>
    </w:p>
    <w:p w:rsidR="004639A3" w:rsidRDefault="004639A3" w:rsidP="004639A3">
      <w:pPr>
        <w:numPr>
          <w:ilvl w:val="0"/>
          <w:numId w:val="2"/>
        </w:numPr>
        <w:spacing w:after="120" w:line="240" w:lineRule="auto"/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مازن المبارك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(النحو العربي  العلة النحوية نشأتها وتطورها)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دار الفكر، 1981م.</w:t>
      </w:r>
    </w:p>
    <w:p w:rsidR="004639A3" w:rsidRDefault="004639A3" w:rsidP="004639A3">
      <w:pPr>
        <w:pStyle w:val="a4"/>
        <w:numPr>
          <w:ilvl w:val="0"/>
          <w:numId w:val="2"/>
        </w:num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  <w:sectPr w:rsidR="004639A3" w:rsidSect="004639A3">
          <w:type w:val="continuous"/>
          <w:pgSz w:w="11906" w:h="16838"/>
          <w:pgMar w:top="1440" w:right="1440" w:bottom="1440" w:left="1440" w:header="720" w:footer="720" w:gutter="0"/>
          <w:cols w:num="2" w:space="720"/>
          <w:bidi/>
          <w:rtlGutter/>
          <w:docGrid w:linePitch="360"/>
        </w:sectPr>
      </w:pPr>
      <w:r>
        <w:rPr>
          <w:rFonts w:asciiTheme="majorBidi" w:hAnsiTheme="majorBidi" w:cstheme="majorBidi"/>
          <w:b/>
          <w:bCs/>
          <w:sz w:val="18"/>
          <w:szCs w:val="18"/>
          <w:rtl/>
        </w:rPr>
        <w:t>محمد الطنطاوي</w:t>
      </w:r>
      <w:r>
        <w:rPr>
          <w:rFonts w:asciiTheme="majorBidi" w:hAnsiTheme="majorBidi" w:cstheme="majorBidi"/>
          <w:b/>
          <w:bCs/>
          <w:noProof/>
          <w:sz w:val="18"/>
          <w:szCs w:val="18"/>
          <w:rtl/>
        </w:rPr>
        <w:t xml:space="preserve"> ، (نشأة النحو  وتاريخ أشهر النحاة) ، </w:t>
      </w:r>
      <w:r>
        <w:rPr>
          <w:rFonts w:asciiTheme="majorBidi" w:hAnsiTheme="majorBidi" w:cstheme="majorBidi"/>
          <w:b/>
          <w:bCs/>
          <w:sz w:val="18"/>
          <w:szCs w:val="18"/>
          <w:rtl/>
        </w:rPr>
        <w:t>، القاهرة، مطبعة وادي الملوك، 1954م</w:t>
      </w:r>
    </w:p>
    <w:p w:rsidR="00566009" w:rsidRDefault="00566009" w:rsidP="00566009">
      <w:pPr>
        <w:bidi w:val="0"/>
        <w:rPr>
          <w:rFonts w:ascii="Calibri" w:eastAsia="Calibri" w:hAnsi="Calibri" w:cs="AGA Granada Regular"/>
          <w:color w:val="0070C0"/>
          <w:sz w:val="32"/>
          <w:szCs w:val="32"/>
          <w:rtl/>
        </w:rPr>
      </w:pPr>
      <w:r>
        <w:rPr>
          <w:rFonts w:ascii="Calibri" w:eastAsia="Calibri" w:hAnsi="Calibri" w:cs="AGA Granada Regular"/>
          <w:color w:val="0070C0"/>
          <w:sz w:val="32"/>
          <w:szCs w:val="32"/>
          <w:rtl/>
        </w:rPr>
        <w:lastRenderedPageBreak/>
        <w:br w:type="page"/>
      </w:r>
    </w:p>
    <w:p w:rsidR="00566009" w:rsidRPr="00566009" w:rsidRDefault="00566009"/>
    <w:sectPr w:rsidR="00566009" w:rsidRPr="00566009" w:rsidSect="00566009">
      <w:type w:val="continuous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 Granada Regular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F0165"/>
    <w:multiLevelType w:val="hybridMultilevel"/>
    <w:tmpl w:val="E4BA73E2"/>
    <w:lvl w:ilvl="0" w:tplc="070830EC">
      <w:start w:val="1"/>
      <w:numFmt w:val="decimal"/>
      <w:lvlText w:val="%1."/>
      <w:lvlJc w:val="left"/>
      <w:pPr>
        <w:tabs>
          <w:tab w:val="num" w:pos="567"/>
        </w:tabs>
        <w:ind w:left="567" w:hanging="113"/>
      </w:pPr>
      <w:rPr>
        <w:rFonts w:cs="AL-Mateen"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66009"/>
    <w:rsid w:val="0010312C"/>
    <w:rsid w:val="001E0548"/>
    <w:rsid w:val="003D399F"/>
    <w:rsid w:val="004639A3"/>
    <w:rsid w:val="00566009"/>
    <w:rsid w:val="007E639D"/>
    <w:rsid w:val="00896C30"/>
    <w:rsid w:val="00CA6391"/>
    <w:rsid w:val="00D8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39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6600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639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hala</cp:lastModifiedBy>
  <cp:revision>7</cp:revision>
  <dcterms:created xsi:type="dcterms:W3CDTF">2013-06-13T04:12:00Z</dcterms:created>
  <dcterms:modified xsi:type="dcterms:W3CDTF">2013-06-16T11:30:00Z</dcterms:modified>
</cp:coreProperties>
</file>