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E1" w:rsidRPr="00B053E1" w:rsidRDefault="00B053E1" w:rsidP="00171397">
      <w:pPr>
        <w:spacing w:before="60"/>
        <w:jc w:val="center"/>
        <w:rPr>
          <w:rFonts w:asciiTheme="majorBidi" w:eastAsia="Calibri" w:hAnsiTheme="majorBidi" w:cstheme="majorBidi"/>
          <w:sz w:val="48"/>
          <w:szCs w:val="48"/>
          <w:rtl/>
        </w:rPr>
      </w:pPr>
      <w:r w:rsidRPr="00B053E1">
        <w:rPr>
          <w:rFonts w:asciiTheme="majorBidi" w:eastAsia="Calibri" w:hAnsiTheme="majorBidi" w:cstheme="majorBidi"/>
          <w:sz w:val="48"/>
          <w:szCs w:val="48"/>
          <w:rtl/>
        </w:rPr>
        <w:t xml:space="preserve">أحوال الكلام </w:t>
      </w:r>
      <w:proofErr w:type="gramStart"/>
      <w:r w:rsidRPr="00B053E1">
        <w:rPr>
          <w:rFonts w:asciiTheme="majorBidi" w:eastAsia="Calibri" w:hAnsiTheme="majorBidi" w:cstheme="majorBidi"/>
          <w:sz w:val="48"/>
          <w:szCs w:val="48"/>
          <w:rtl/>
        </w:rPr>
        <w:t>الفرد</w:t>
      </w:r>
      <w:proofErr w:type="gramEnd"/>
      <w:r w:rsidRPr="00B053E1">
        <w:rPr>
          <w:rFonts w:asciiTheme="majorBidi" w:eastAsia="Calibri" w:hAnsiTheme="majorBidi" w:cstheme="majorBidi"/>
          <w:sz w:val="48"/>
          <w:szCs w:val="48"/>
          <w:rtl/>
        </w:rPr>
        <w:t xml:space="preserve"> في الاحتجاج </w:t>
      </w:r>
      <w:proofErr w:type="spellStart"/>
      <w:r w:rsidRPr="00B053E1">
        <w:rPr>
          <w:rFonts w:asciiTheme="majorBidi" w:eastAsia="Calibri" w:hAnsiTheme="majorBidi" w:cstheme="majorBidi"/>
          <w:sz w:val="48"/>
          <w:szCs w:val="48"/>
          <w:rtl/>
        </w:rPr>
        <w:t>به</w:t>
      </w:r>
      <w:proofErr w:type="spellEnd"/>
    </w:p>
    <w:p w:rsidR="00171397" w:rsidRDefault="00B965E2" w:rsidP="00171397">
      <w:pPr>
        <w:jc w:val="center"/>
        <w:rPr>
          <w:i/>
          <w:iCs/>
          <w:sz w:val="22"/>
          <w:szCs w:val="22"/>
        </w:rPr>
      </w:pPr>
      <w:r>
        <w:rPr>
          <w:rFonts w:hint="cs"/>
          <w:rtl/>
        </w:rPr>
        <w:t>بحث فى النحو</w:t>
      </w:r>
      <w:r>
        <w:br/>
      </w:r>
      <w:r w:rsidR="00171397">
        <w:rPr>
          <w:rFonts w:hint="cs"/>
          <w:i/>
          <w:iCs/>
          <w:sz w:val="22"/>
          <w:szCs w:val="22"/>
          <w:rtl/>
        </w:rPr>
        <w:t xml:space="preserve">إعداد/ </w:t>
      </w:r>
      <w:r w:rsidR="00171397">
        <w:rPr>
          <w:rFonts w:hint="cs"/>
          <w:i/>
          <w:iCs/>
          <w:sz w:val="22"/>
          <w:szCs w:val="22"/>
          <w:rtl/>
          <w:lang w:bidi="ar-EG"/>
        </w:rPr>
        <w:t>شادية بيومي حامد</w:t>
      </w:r>
    </w:p>
    <w:p w:rsidR="00171397" w:rsidRDefault="00171397" w:rsidP="00171397">
      <w:pPr>
        <w:bidi w:val="0"/>
        <w:jc w:val="center"/>
        <w:rPr>
          <w:rFonts w:eastAsia="SimSun"/>
          <w:i/>
          <w:iCs/>
          <w:sz w:val="20"/>
          <w:szCs w:val="20"/>
        </w:rPr>
      </w:pPr>
      <w:r>
        <w:rPr>
          <w:rFonts w:hint="cs"/>
          <w:i/>
          <w:iCs/>
          <w:rtl/>
        </w:rPr>
        <w:t>قسم اللغة العربية</w:t>
      </w:r>
    </w:p>
    <w:p w:rsidR="00171397" w:rsidRDefault="00171397" w:rsidP="00171397">
      <w:pPr>
        <w:bidi w:val="0"/>
        <w:jc w:val="center"/>
        <w:rPr>
          <w:i/>
          <w:iCs/>
        </w:rPr>
      </w:pPr>
      <w:proofErr w:type="gramStart"/>
      <w:r>
        <w:rPr>
          <w:rFonts w:hint="cs"/>
          <w:i/>
          <w:iCs/>
          <w:rtl/>
        </w:rPr>
        <w:t>كلية</w:t>
      </w:r>
      <w:proofErr w:type="gramEnd"/>
      <w:r>
        <w:rPr>
          <w:rFonts w:hint="cs"/>
          <w:i/>
          <w:iCs/>
          <w:rtl/>
        </w:rPr>
        <w:t xml:space="preserve"> اللغات </w:t>
      </w:r>
      <w:proofErr w:type="spellStart"/>
      <w:r>
        <w:rPr>
          <w:rFonts w:hint="cs"/>
          <w:i/>
          <w:iCs/>
          <w:rtl/>
        </w:rPr>
        <w:t>–</w:t>
      </w:r>
      <w:proofErr w:type="spellEnd"/>
      <w:r>
        <w:rPr>
          <w:rFonts w:hint="cs"/>
          <w:i/>
          <w:iCs/>
          <w:rtl/>
        </w:rPr>
        <w:t xml:space="preserve"> جامعة المدينة العالمية</w:t>
      </w:r>
    </w:p>
    <w:p w:rsidR="00171397" w:rsidRDefault="00171397" w:rsidP="00171397">
      <w:pPr>
        <w:bidi w:val="0"/>
        <w:jc w:val="center"/>
        <w:rPr>
          <w:i/>
          <w:iCs/>
        </w:rPr>
      </w:pPr>
      <w:r>
        <w:rPr>
          <w:rFonts w:hint="cs"/>
          <w:i/>
          <w:iCs/>
          <w:rtl/>
        </w:rPr>
        <w:t xml:space="preserve">شاه علم </w:t>
      </w:r>
      <w:proofErr w:type="spellStart"/>
      <w:r>
        <w:rPr>
          <w:rFonts w:hint="cs"/>
          <w:i/>
          <w:iCs/>
          <w:rtl/>
        </w:rPr>
        <w:t>-</w:t>
      </w:r>
      <w:proofErr w:type="spellEnd"/>
      <w:r>
        <w:rPr>
          <w:rFonts w:hint="cs"/>
          <w:i/>
          <w:iCs/>
          <w:rtl/>
        </w:rPr>
        <w:t xml:space="preserve"> ماليزيا</w:t>
      </w:r>
    </w:p>
    <w:p w:rsidR="00171397" w:rsidRDefault="00171397" w:rsidP="00171397">
      <w:pPr>
        <w:bidi w:val="0"/>
        <w:jc w:val="center"/>
        <w:rPr>
          <w:i/>
          <w:iCs/>
        </w:rPr>
      </w:pPr>
      <w:r>
        <w:rPr>
          <w:i/>
          <w:iCs/>
          <w:lang w:bidi="ar-EG"/>
        </w:rPr>
        <w:t>shadia@mediu.ws</w:t>
      </w:r>
    </w:p>
    <w:p w:rsidR="00B053E1" w:rsidRDefault="00B053E1" w:rsidP="00B053E1">
      <w:pPr>
        <w:spacing w:before="60"/>
      </w:pPr>
    </w:p>
    <w:p w:rsidR="00171397" w:rsidRPr="00B965E2" w:rsidRDefault="00171397" w:rsidP="00B053E1">
      <w:pPr>
        <w:spacing w:before="60"/>
        <w:rPr>
          <w:rFonts w:asciiTheme="majorBidi" w:hAnsiTheme="majorBidi" w:cstheme="majorBidi"/>
          <w:b/>
          <w:bCs/>
          <w:sz w:val="18"/>
          <w:szCs w:val="18"/>
          <w:rtl/>
        </w:rPr>
        <w:sectPr w:rsidR="00171397" w:rsidRPr="00B965E2" w:rsidSect="00171397">
          <w:headerReference w:type="even" r:id="rId7"/>
          <w:pgSz w:w="11906" w:h="16838" w:code="9"/>
          <w:pgMar w:top="1843" w:right="2552" w:bottom="2835" w:left="2552" w:header="709" w:footer="709" w:gutter="0"/>
          <w:cols w:space="708"/>
          <w:titlePg/>
          <w:bidi/>
          <w:rtlGutter/>
          <w:docGrid w:linePitch="360"/>
        </w:sectPr>
      </w:pPr>
    </w:p>
    <w:p w:rsidR="00B053E1" w:rsidRPr="00B053E1" w:rsidRDefault="00B053E1" w:rsidP="00B053E1">
      <w:pPr>
        <w:spacing w:before="60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البحث يبحث فى</w:t>
      </w:r>
      <w:r w:rsidRPr="00B053E1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أحوال الكلام الفرد في الاحتجاج </w:t>
      </w:r>
      <w:proofErr w:type="spellStart"/>
      <w:r w:rsidRPr="00B053E1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به</w:t>
      </w:r>
      <w:proofErr w:type="spellEnd"/>
    </w:p>
    <w:p w:rsidR="00B053E1" w:rsidRPr="00B053E1" w:rsidRDefault="00B053E1" w:rsidP="00B053E1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المفتاحية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الفرد</w:t>
      </w: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صفه </w:t>
      </w:r>
      <w:proofErr w:type="spellStart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للكلام</w:t>
      </w: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صفة للمتكلم</w:t>
      </w: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B053E1" w:rsidRPr="00B053E1" w:rsidRDefault="00B053E1" w:rsidP="00B053E1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proofErr w:type="gramEnd"/>
      <w:r w:rsidRPr="00B053E1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B053E1" w:rsidRPr="00B053E1" w:rsidRDefault="00B053E1" w:rsidP="00B053E1">
      <w:pPr>
        <w:spacing w:before="60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العالمين،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والصلاة والسلام على أشرف المرسلين سيدنا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محمد،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آله وصحبه </w:t>
      </w:r>
      <w:proofErr w:type="gram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والتابعين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proofErr w:type="gram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سوف نقوم في هذا البحث بمعرفة </w:t>
      </w:r>
      <w:r w:rsidRPr="00B053E1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أحوال الكلام الفرد في الاحتجاج </w:t>
      </w:r>
      <w:proofErr w:type="spellStart"/>
      <w:r w:rsidRPr="00B053E1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به</w:t>
      </w:r>
      <w:proofErr w:type="spellEnd"/>
    </w:p>
    <w:p w:rsidR="00B053E1" w:rsidRPr="00B053E1" w:rsidRDefault="00B053E1" w:rsidP="00B965E2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B965E2">
        <w:rPr>
          <w:rFonts w:asciiTheme="majorBidi" w:hAnsiTheme="majorBidi" w:cstheme="majorBidi" w:hint="cs"/>
          <w:b/>
          <w:bCs/>
          <w:sz w:val="18"/>
          <w:szCs w:val="18"/>
          <w:rtl/>
        </w:rPr>
        <w:t>موضوع</w:t>
      </w: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B053E1">
        <w:rPr>
          <w:rFonts w:asciiTheme="majorBidi" w:hAnsiTheme="majorBidi" w:cstheme="majorBidi"/>
          <w:b/>
          <w:bCs/>
          <w:sz w:val="18"/>
          <w:szCs w:val="18"/>
        </w:rPr>
        <w:t>II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إن السيوطي قد لخَّص هذا الموضع من مواضع متفرّقة ذكرها ابن جني في (الخصائص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)،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وبتأمّل كلام ابن جني نلحظ أن كلمة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"الفرد"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يُراد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وصف الكلام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حينًا،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ويُراد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وصف المتكلم حينًا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آخر،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وله أحوال: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الحالة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الأولى: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يكون الفرد صفة للكلام بأن يكون المسموع فردًا ليس له نظير في الألفاظ المسموعة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سُمع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وحده،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ولم يُسمع عن العرب ما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يُخالفه،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بل أجمعوا على النطق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مثال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ذلك: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قولهم في النسب إلى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شنوءة،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ومن معانيه المتقزّز مما يُعاب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يقال في النسب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إليه: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شنأيٌّ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بحذف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الواو؛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شنوءة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على وزن "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فعولة"،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فحذفت الواو عند النسب كما حُذفت الياء عند النسب إلى ما كان على وزن "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فعيلة"؛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لتساويهما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الواو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والياء-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كونهما حرفي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مدّ،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وفي كونهما بعد عين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الكلمة،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وفي أن آخر كل وزن منهما تاء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التأنيث،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وفي أن الوزنين يتواردان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فيقال: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أثيم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وأثوم،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ورحيم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ورحوم؛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فلما استمرَّت حال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فعيلة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وفعولة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الاستمرار،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حذفت الواو من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شنوءة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حُذفت الياء من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حنيفة،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فأطبق العرب على قولهم "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شنأيّ"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عند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النسب،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فلم يُسمع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خلافه،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أن هذا المسموع لم يسمع في غير هذه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الكلمة،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فكان المسموع فردًا.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وحكم هذا النوع أنه يقبل ويُحتج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ويقاس عليه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غيره،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وعلة ذلك -كما قال العلامة ابن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جني-: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"أنه لم يأت فيه شيء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ينقضه"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لم يأتِ فيه شيء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آخر،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إذ لم يسمع إلا هو. إذًا تُحذف الواو من كل اسم على وزن "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فعولة"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فيقال -بناء على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هذا-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النسب إلى ركوبة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وحلوبة: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ركبي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وحلبي،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وإتمامًا للنفع وإكمالًا للفائدة نشير إلى أنه يُشترط في حذف الواو مما على </w:t>
      </w: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وزن "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فعولة"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عند النسب ألا تكون العين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معلة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مضعفة،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كانت العين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معلة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لم تُحذف الواو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نحو: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قوولة،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فيقال عند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النسب: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قُوُولي،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كانت العين مضعفة لم تُحذف الواو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نحو: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حرورة،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فيقال عند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النسب: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حروريّ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ببقاء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الواو؛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حملًا على بقاء الياء فيما كان على وزن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فعيلة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نحو: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جليلة،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إذ يقال في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النسب: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جليلي.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الحالة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الثانية: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يكون الفرد صفة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للمتكلم،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وأن يكون المتكلم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العرب واحدًا مخالفًا لما عليه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الجمهور،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ولم يردْ استعمال هذا اللفظ إلا من جهة هذا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الإنسان،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يمكن الحكم بقبوله أو ردِّه إلا إذا نظرنا في حال هذا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المتكلم،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يخرج حاله عن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أمرين،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عن أحد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أمرين؛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 إما أن يكون فصيحًا في غير الموضع الذي خالف فيه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الجمهور،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أن يكون غير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ذلك،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ولكلٍّ حكم. فإن كان هذا المتكلم فصيحًا في جميع ما قال لم يُؤثر عنه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لحن،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ولم يُعهد عليه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خطأ،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وكان الكلام الذي انفرد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مما يقبله القياس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اللغوي؛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فحكمه حينئذٍ الحكم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بصحته،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لقول ابن جني الذي نقله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السيوطي: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"فإن الأولى في ذلك أن يُحسن الظن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بالمتكلم-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يُحمل على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فساده"،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وقد يعترض هذا القول متعرض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فيقول: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إن تفرُّد متكلم واحد بما يُخالف ما عليه جمهور العربي فيه ارتجال لغة لنفسه غير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معهودة،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يجوز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ذلك،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فكيف يمكن قبوله. وقد افترض ابن جني هذا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الاعتراض،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وأجاب عنه بأن تفرُّد متكلم واحد بما يُخالف ما عليه الجمهور ليس ارتجالًا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للغة،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وإنما يُمكن أن يكون ذلك وقع إليه من لغة قديمة طال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عهدها،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وعفى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رسمها،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ولم يصل إلينا مما قالته العرب إلا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أقلُّه؛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فقد يكون هذا الفصيح المتفرّد بالكلام قد وصل إليه من لغات العرب ما لم يصل إلى غيره من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العرب،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كان المتكلم المخالف للجماعة قد عَرف الناس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لحنه،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وعهدوا منه فساد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كلامه؛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فحكمه أن يُردَّ القول الذي تفرد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وألا يُسمع منه. 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يقول</w:t>
      </w:r>
      <w:proofErr w:type="gram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ابن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جني: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"هذا هو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الوجه،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وعليه ينبغي أن يكون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العمل،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قيل: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ولم لا يكون قوله الذي تفرَّد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منقولًا عن لغة أخرى لم تصل إلى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غيره،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قيل في حال من عُرفت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فصاحته؟.</w:t>
      </w:r>
      <w:proofErr w:type="spellEnd"/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أجيب</w:t>
      </w:r>
      <w:proofErr w:type="gram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بأن هناك فرقًا بين من عُرفت فصاحته ومن عُرف فساد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قوله،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من عرفت فصاحته كان حسن الظن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أولى،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فقُبل ما تفرَّد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لاحتمال أنه قد وصل إليه من لغة أخرى. </w:t>
      </w:r>
      <w:proofErr w:type="gram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أما</w:t>
      </w:r>
      <w:proofErr w:type="gram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عرف فساد قوله فإنه يُحكم بردِّ ما تفرد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لأنا لو فتحنا هذا الباب ما رددنا خطأً أبدًا لمجيء ذلك الاحتمال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فيه،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ولأن المدار في الخطأ والصواب على الظواهر.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الحالة</w:t>
      </w:r>
      <w:proofErr w:type="gram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الثالثة: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يكون الفرد صفة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للمتكلم،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وأن يكون المتكلم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العرب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واحدًا،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يُسمع من غيره لا ما يُوافقه ولا ما يُخالفه. 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فالفرق</w:t>
      </w:r>
      <w:proofErr w:type="gram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بين هذه الحالة والتي قبلها أن المتكلم في الحالة السابقة قد خالف ما عليه جمهور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العرب،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أما المتكلم في هذه الحالة فقد تفرَّد في شيء لم يرد عن العرب لا ما يوافقه ولا ما يخالفه. </w:t>
      </w:r>
      <w:proofErr w:type="gram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والحكم</w:t>
      </w:r>
      <w:proofErr w:type="gram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عن هذه الحالة متوقف على معرفة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المتكلم،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كان المتكلم فصيحًا ثبتت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فصاحته؛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وجب قبول كلامه ولا يجوز ردُّه. 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gram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وقد</w:t>
      </w:r>
      <w:proofErr w:type="gram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أفرد ابن جني في كتابه (الخصائص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بابًا في الشيء يُسمع من العربي الفصيح لا يُسمع من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غيره؛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فقيد السماع الفرد بأن يكون صادرًا عن عربي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فصيح،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وذكر من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أمثلته: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الجبر،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ومعناه: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الملك،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قوله:</w:t>
      </w:r>
    </w:p>
    <w:tbl>
      <w:tblPr>
        <w:bidiVisual/>
        <w:tblW w:w="0" w:type="auto"/>
        <w:jc w:val="center"/>
        <w:tblLook w:val="01E0"/>
      </w:tblPr>
      <w:tblGrid>
        <w:gridCol w:w="1433"/>
        <w:gridCol w:w="445"/>
        <w:gridCol w:w="1385"/>
      </w:tblGrid>
      <w:tr w:rsidR="00B053E1" w:rsidRPr="00B053E1" w:rsidTr="00AC27DA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B053E1" w:rsidRPr="00B053E1" w:rsidRDefault="00B053E1" w:rsidP="00B053E1">
            <w:pPr>
              <w:spacing w:after="120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</w:pPr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اسلم </w:t>
            </w:r>
            <w:proofErr w:type="spellStart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براوُوق</w:t>
            </w:r>
            <w:proofErr w:type="spellEnd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</w:t>
            </w:r>
            <w:proofErr w:type="spellStart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حبيت</w:t>
            </w:r>
            <w:proofErr w:type="spellEnd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</w:t>
            </w:r>
            <w:proofErr w:type="spellStart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به</w:t>
            </w:r>
            <w:proofErr w:type="spellEnd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B053E1" w:rsidRPr="00B053E1" w:rsidRDefault="00B053E1" w:rsidP="00B053E1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B053E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B053E1" w:rsidRPr="00B053E1" w:rsidRDefault="00B053E1" w:rsidP="00B053E1">
            <w:pPr>
              <w:spacing w:after="120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proofErr w:type="gramStart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وانعم</w:t>
            </w:r>
            <w:proofErr w:type="gramEnd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صباحًا أيُّها الجبر</w:t>
            </w:r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ومن أمثلته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أيضًا: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البابوس،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ومعناه: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الناقة،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قوله:</w:t>
      </w:r>
    </w:p>
    <w:tbl>
      <w:tblPr>
        <w:bidiVisual/>
        <w:tblW w:w="0" w:type="auto"/>
        <w:jc w:val="center"/>
        <w:tblLook w:val="01E0"/>
      </w:tblPr>
      <w:tblGrid>
        <w:gridCol w:w="1429"/>
        <w:gridCol w:w="443"/>
        <w:gridCol w:w="1391"/>
      </w:tblGrid>
      <w:tr w:rsidR="00B053E1" w:rsidRPr="00B053E1" w:rsidTr="00AC27DA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B053E1" w:rsidRPr="00B053E1" w:rsidRDefault="00B053E1" w:rsidP="00B053E1">
            <w:pPr>
              <w:spacing w:after="120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</w:pPr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حنت </w:t>
            </w:r>
            <w:proofErr w:type="spellStart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قلوصي</w:t>
            </w:r>
            <w:proofErr w:type="spellEnd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إلى </w:t>
            </w:r>
            <w:proofErr w:type="spellStart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بابوسها</w:t>
            </w:r>
            <w:proofErr w:type="spellEnd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جزعًا</w:t>
            </w:r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B053E1" w:rsidRPr="00B053E1" w:rsidRDefault="00B053E1" w:rsidP="00B053E1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B053E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B053E1" w:rsidRPr="00B053E1" w:rsidRDefault="00B053E1" w:rsidP="00B053E1">
            <w:pPr>
              <w:spacing w:after="120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proofErr w:type="gramStart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فما</w:t>
            </w:r>
            <w:proofErr w:type="gramEnd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</w:t>
            </w:r>
            <w:proofErr w:type="spellStart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حنينك،</w:t>
            </w:r>
            <w:proofErr w:type="spellEnd"/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أم ما أنت والذِّكَر</w:t>
            </w:r>
            <w:r w:rsidRPr="00B053E1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بكسر الذال وفتح الكاف جمع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ذكرة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بكسر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فسكون،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وهي الذكرى بمعنى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التذكر،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ومن أمثلته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أيضًا: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المأنوسة،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ومعناه: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النار،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وقوله:</w:t>
      </w:r>
    </w:p>
    <w:tbl>
      <w:tblPr>
        <w:bidiVisual/>
        <w:tblW w:w="0" w:type="auto"/>
        <w:jc w:val="center"/>
        <w:tblLook w:val="01E0"/>
      </w:tblPr>
      <w:tblGrid>
        <w:gridCol w:w="2909"/>
      </w:tblGrid>
      <w:tr w:rsidR="00B053E1" w:rsidRPr="00B053E1" w:rsidTr="00AC27DA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B053E1" w:rsidRPr="00B053E1" w:rsidRDefault="00B053E1" w:rsidP="00B053E1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B053E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كما</w:t>
            </w:r>
            <w:proofErr w:type="gramEnd"/>
            <w:r w:rsidRPr="00B053E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تطاير عن مأنوسة الشَّرَرُ</w:t>
            </w:r>
            <w:r w:rsidRPr="00B053E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فهذه أحرف من الغريب الذي قال عنه الأصمعي فيما نقله ابن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جني: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"لا أعلم أحدًا أتى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إلا ابن أحمر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الباهلي"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وحكم هذا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النوع: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أنه يجب قبوله لما ثبت من فصاحة ابن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أحمر،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فيكون الذي تفرَّد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إما أن يكون شيئًا أخذه عمَّن نطق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بلغة قديمة لم يُشارك في سماع ذلك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منه،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شيئًا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ارتجله،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اخترعه وجاء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عنده،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وليس عجيبًا أن يرتجل الأعرابي الفصيح ما لم يُسبق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إليه؛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فقد حُكي عن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رؤبة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وأبيه أنهما كانا يرتجلان ما لم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يسمعاه،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ما لم يُسبقا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إليه،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فقبل ما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ارتجلاه،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يُقبل إلا من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فصيح،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يقول ابن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جني: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"لكن لو جاء شيء من ذلك عن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ظنين،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متهم،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من لم ترقَ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فصاحته،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سبقت إلى الأنفس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ثقته؛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كان مردودًا غير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متقبل"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</w:rPr>
      </w:pPr>
      <w:r w:rsidRPr="00B053E1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ومعنى ما قاله ابن </w:t>
      </w:r>
      <w:proofErr w:type="spellStart"/>
      <w:r w:rsidRPr="00B053E1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جني،</w:t>
      </w:r>
      <w:proofErr w:type="spellEnd"/>
      <w:r w:rsidRPr="00B053E1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ونقله </w:t>
      </w:r>
      <w:proofErr w:type="spellStart"/>
      <w:r w:rsidRPr="00B053E1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السيوطي:</w:t>
      </w:r>
      <w:proofErr w:type="spellEnd"/>
      <w:r w:rsidRPr="00B053E1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هو أن قبول الفرد مقيَّد بفصاحة المتكلم. 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ونختم ببيان حكم الكلام الفرد الذي يُخالفه كلام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العرب،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ويأباه القياس على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كلامها،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فنقول: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نقل السيوطي عن ابن جني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قوله: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"إن ورد عن بعضهم شيء يدفعه كلام العرب ويأباه القياس على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كلامها؛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فإنه لا يُقْنَع في قبوله أن يُسمع من الواحد ولا من العدة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القليلة،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إلا أن يكثر من ينطق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منهم"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ومعنى هذا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الكلام: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أنه إذا ورد عن بعض المتفردين كلامٌ يُخالف معهود العرب في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كلامها،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وكان أيضًا مخالفًا لقياس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العرب؛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وجب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ردُّه،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ولم يجز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قبوله،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كان على قياس كلام العرب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قُبل؛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لقول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المازني: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"ما قيس على كلام العرب فهو من كلام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العرب"،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إذا كان المتكلم واحدًا أو عدة قليلة. </w:t>
      </w:r>
      <w:proofErr w:type="gram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أما</w:t>
      </w:r>
      <w:proofErr w:type="gram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إذا كثر الناطقون بما خالف قياس العرب في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كلامها،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الكلام الفرد يكون مقبولًا غير مردود مع ضعفه من جهة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القياس،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وطريق جوازه أمران: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proofErr w:type="gram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أحدهما</w:t>
      </w:r>
      <w:proofErr w:type="gram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يكون المتكلم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لم يُحكم قياسه. 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proofErr w:type="gram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الآخر</w:t>
      </w:r>
      <w:proofErr w:type="gram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يكون المستمع قد قَصُرَ عن استدراك وجه صحته. 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وقد ذكر ابن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جني: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"أنه يُحتمل أن يكون المتفرد قد سمع كلام الفرد من غير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فصحاء،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دخل غير الفصيح في الفصيح من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الكلام،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وامتزج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امتزاجًا"،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ولكنه ضعَّف هذا الاحتمال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بقوله: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"إلا أن هذا كأنه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متعذِّر،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يكاد يقع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مثله،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وذلك أن الأعرابي الفصيح إذا عُدل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عن لغته الفصيحة إلى أخرى سقيمة عافها ولم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يَبْهَأ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بها"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ونقل السيوطي كلام ابن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جني،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وغيَّر "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يَبْهَأ"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إلى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"يَعْبَأ"،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ونبَّه الأستاذ الدكتور أحمد محمد قاسم محقق (الاقتراح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-طيب الله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ثراه-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إلى هذا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التغيير؛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موضحًا أن عبارة ابن جني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معناه: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لم يأنس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بها،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فهي أنسب من عبارة السيوطي.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ونخلص مما سبق إلى أن الفصيح إن تكلَّم بكلام قُبل منه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كلامه،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ولم يُردَّ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عليه،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ويُحمل أمره على ما عُرف من حاله وإن خالف القياس مشيًا على الظاهر الذي هو مناط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الأحكام،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ولذلك قاسه ابن جني على قبول القاضي شهادة من دارت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عدالته،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كان يجوز أن يكون الأمر عند الله بخلاف ما شهد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به؛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 القاضي إنما أُمر بحمل الأمور على ما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تبدو،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كان في المغيب غيره. انتهى.</w:t>
      </w:r>
    </w:p>
    <w:p w:rsid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فإذا لم يجزْ للقاضي أن يشكّ فيمن ظهرت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عدالته؛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وجب على متلقي اللغة أيضًا ألا يشكَّ فيمن ظهرت </w:t>
      </w:r>
      <w:proofErr w:type="spellStart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>فصاحته؛</w:t>
      </w:r>
      <w:proofErr w:type="spellEnd"/>
      <w:r w:rsidRPr="00B053E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 الشك لو تسرَّب إليه لأدى ذلك إلى ترك الفصيح</w:t>
      </w:r>
    </w:p>
    <w:p w:rsidR="00B053E1" w:rsidRPr="00B053E1" w:rsidRDefault="00B053E1" w:rsidP="00B053E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  <w:sectPr w:rsidR="00B053E1" w:rsidRPr="00B053E1" w:rsidSect="005A6DC6">
          <w:type w:val="continuous"/>
          <w:pgSz w:w="11906" w:h="16838" w:code="9"/>
          <w:pgMar w:top="2835" w:right="2552" w:bottom="2835" w:left="2552" w:header="709" w:footer="709" w:gutter="0"/>
          <w:cols w:num="2" w:space="708"/>
          <w:titlePg/>
          <w:bidi/>
          <w:rtlGutter/>
          <w:docGrid w:linePitch="360"/>
        </w:sectPr>
      </w:pPr>
    </w:p>
    <w:p w:rsidR="005A6DC6" w:rsidRDefault="005A6DC6" w:rsidP="005A6DC6">
      <w:pPr>
        <w:widowControl w:val="0"/>
        <w:spacing w:after="120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proofErr w:type="gramStart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lastRenderedPageBreak/>
        <w:t>المراجع</w:t>
      </w:r>
      <w:proofErr w:type="gramEnd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والمصادر</w:t>
      </w:r>
    </w:p>
    <w:p w:rsidR="005A6DC6" w:rsidRDefault="005A6DC6" w:rsidP="005A6DC6">
      <w:pPr>
        <w:numPr>
          <w:ilvl w:val="0"/>
          <w:numId w:val="2"/>
        </w:numPr>
        <w:spacing w:after="120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طه عبد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الرؤوف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سعد،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مكتبة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الصفا،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5A6DC6" w:rsidRDefault="005A6DC6" w:rsidP="005A6DC6">
      <w:pPr>
        <w:numPr>
          <w:ilvl w:val="0"/>
          <w:numId w:val="2"/>
        </w:numPr>
        <w:spacing w:after="120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محمود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فجال،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(الإصباح في شرح الاقتراح)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القلم،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1989م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A6DC6" w:rsidRDefault="005A6DC6" w:rsidP="005A6DC6">
      <w:pPr>
        <w:numPr>
          <w:ilvl w:val="0"/>
          <w:numId w:val="2"/>
        </w:numPr>
        <w:spacing w:after="120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</w:t>
      </w:r>
      <w:proofErr w:type="spellStart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>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محمد علي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النجار،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الكتاب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العربي،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5A6DC6" w:rsidRDefault="005A6DC6" w:rsidP="005A6DC6">
      <w:pPr>
        <w:numPr>
          <w:ilvl w:val="0"/>
          <w:numId w:val="2"/>
        </w:numPr>
        <w:spacing w:after="120"/>
        <w:jc w:val="lowKashida"/>
        <w:rPr>
          <w:rFonts w:asciiTheme="majorBidi" w:eastAsiaTheme="minorHAns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الأفغاني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A6DC6" w:rsidRDefault="005A6DC6" w:rsidP="005A6DC6">
      <w:pPr>
        <w:numPr>
          <w:ilvl w:val="0"/>
          <w:numId w:val="2"/>
        </w:numPr>
        <w:spacing w:after="120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،بيروت،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المكتب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الإسلامي،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5A6DC6" w:rsidRDefault="005A6DC6" w:rsidP="005A6DC6">
      <w:pPr>
        <w:numPr>
          <w:ilvl w:val="0"/>
          <w:numId w:val="2"/>
        </w:numPr>
        <w:spacing w:after="120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قنبر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تحقيق عبد السلام هارون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الهيئة المصرية العامة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للكتاب،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A6DC6" w:rsidRDefault="005A6DC6" w:rsidP="005A6DC6">
      <w:pPr>
        <w:numPr>
          <w:ilvl w:val="0"/>
          <w:numId w:val="2"/>
        </w:numPr>
        <w:spacing w:after="1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A6DC6" w:rsidRDefault="005A6DC6" w:rsidP="005A6DC6">
      <w:pPr>
        <w:numPr>
          <w:ilvl w:val="0"/>
          <w:numId w:val="2"/>
        </w:numPr>
        <w:spacing w:after="120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(من تاريخ النحو)،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1978م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A6DC6" w:rsidRDefault="005A6DC6" w:rsidP="005A6DC6">
      <w:pPr>
        <w:numPr>
          <w:ilvl w:val="0"/>
          <w:numId w:val="2"/>
        </w:numPr>
        <w:spacing w:after="120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مازن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(النحو العربي  العلة النحوية نشأتها وتطورها)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1981م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A6DC6" w:rsidRDefault="005A6DC6" w:rsidP="005A6DC6">
      <w:pPr>
        <w:pStyle w:val="a7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القاهرة،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وادي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الملوك،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1954م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A6DC6" w:rsidRDefault="005A6DC6">
      <w:pPr>
        <w:rPr>
          <w:rtl/>
        </w:rPr>
        <w:sectPr w:rsidR="005A6DC6" w:rsidSect="005A6DC6"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CA6391" w:rsidRPr="005A6DC6" w:rsidRDefault="00CA6391"/>
    <w:sectPr w:rsidR="00CA6391" w:rsidRPr="005A6DC6" w:rsidSect="005A6DC6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06" w:rsidRDefault="00E85906" w:rsidP="00B053E1">
      <w:r>
        <w:separator/>
      </w:r>
    </w:p>
  </w:endnote>
  <w:endnote w:type="continuationSeparator" w:id="0">
    <w:p w:rsidR="00E85906" w:rsidRDefault="00E85906" w:rsidP="00B0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Granad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06" w:rsidRDefault="00E85906" w:rsidP="00B053E1">
      <w:r>
        <w:separator/>
      </w:r>
    </w:p>
  </w:footnote>
  <w:footnote w:type="continuationSeparator" w:id="0">
    <w:p w:rsidR="00E85906" w:rsidRDefault="00E85906" w:rsidP="00B05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5" w:rsidRDefault="00F841C2">
    <w:pPr>
      <w:pStyle w:val="a4"/>
      <w:rPr>
        <w:lang w:bidi="ar-EG"/>
      </w:rPr>
    </w:pPr>
    <w:r>
      <w:rPr>
        <w:noProof/>
      </w:rPr>
      <w:pict>
        <v:group id="_x0000_s1032" style="position:absolute;left:0;text-align:left;margin-left:3.5pt;margin-top:76.05pt;width:333.5pt;height:619.25pt;z-index:251661312" coordorigin="2622,2230" coordsize="6670,12385">
          <v:line id="_x0000_s1033" style="position:absolute" from="2645,14400" to="9266,14400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09;top:14161;width:754;height:454" fillcolor="#4f81bd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7B1485" w:rsidRPr="00907733" w:rsidRDefault="00F841C2" w:rsidP="000C5C13">
                  <w:pPr>
                    <w:spacing w:line="280" w:lineRule="exact"/>
                    <w:jc w:val="center"/>
                    <w:rPr>
                      <w:rFonts w:cs="AL-Mateen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="00912897"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 w:rsidR="00912897">
                    <w:rPr>
                      <w:rStyle w:val="a5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110</w: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2;top:2497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2;top:2278;width:2551;height:397" fillcolor="#369" stroked="f">
            <v:shadow on="t" color="#b2b2b2" opacity="52429f" offset="1pt,0" offset2="-4pt,-4pt"/>
            <v:textpath style="font-family:&quot;Al-Mothnna&quot;;v-text-kern:t" trim="t" fitpath="t" string="أصول النحو [1]"/>
          </v:shape>
          <v:rect id="_x0000_s1037" style="position:absolute;left:7591;top:2230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7B1485" w:rsidRPr="00E31343" w:rsidRDefault="00E85906" w:rsidP="000C5C13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3;top:2326;width:1417;height:317" stroked="f">
            <v:shadow on="t" color="black" opacity="52429f" offset="1pt,0" offset2="-4pt,-4pt"/>
            <v:textpath style="font-family:&quot;AGA Granada Regular&quot;;v-text-kern:t" trim="t" fitpath="t" string="الدرس السادس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053E1"/>
    <w:rsid w:val="000C7704"/>
    <w:rsid w:val="00171397"/>
    <w:rsid w:val="005A6DC6"/>
    <w:rsid w:val="007E639D"/>
    <w:rsid w:val="00912897"/>
    <w:rsid w:val="00941BEF"/>
    <w:rsid w:val="00B053E1"/>
    <w:rsid w:val="00B362C5"/>
    <w:rsid w:val="00B965E2"/>
    <w:rsid w:val="00C358E1"/>
    <w:rsid w:val="00CA6391"/>
    <w:rsid w:val="00E85906"/>
    <w:rsid w:val="00F8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53E1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rsid w:val="00B053E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B053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053E1"/>
  </w:style>
  <w:style w:type="paragraph" w:styleId="a6">
    <w:name w:val="footer"/>
    <w:basedOn w:val="a"/>
    <w:link w:val="Char0"/>
    <w:uiPriority w:val="99"/>
    <w:semiHidden/>
    <w:unhideWhenUsed/>
    <w:rsid w:val="00B053E1"/>
    <w:pPr>
      <w:tabs>
        <w:tab w:val="center" w:pos="4513"/>
        <w:tab w:val="right" w:pos="9026"/>
      </w:tabs>
    </w:pPr>
  </w:style>
  <w:style w:type="character" w:customStyle="1" w:styleId="Char0">
    <w:name w:val="تذييل صفحة Char"/>
    <w:basedOn w:val="a0"/>
    <w:link w:val="a6"/>
    <w:uiPriority w:val="99"/>
    <w:semiHidden/>
    <w:rsid w:val="00B053E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A6D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7</cp:revision>
  <dcterms:created xsi:type="dcterms:W3CDTF">2013-06-13T04:44:00Z</dcterms:created>
  <dcterms:modified xsi:type="dcterms:W3CDTF">2013-06-16T12:58:00Z</dcterms:modified>
</cp:coreProperties>
</file>