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22F" w:rsidRPr="0092009C" w:rsidRDefault="0092009C" w:rsidP="009E6608">
      <w:pPr>
        <w:jc w:val="center"/>
        <w:rPr>
          <w:rFonts w:ascii="Calibri" w:eastAsia="Calibri" w:hAnsi="Calibri" w:cs="AGA Rasheeq Bold"/>
          <w:sz w:val="52"/>
          <w:szCs w:val="52"/>
          <w:rtl/>
        </w:rPr>
      </w:pPr>
      <w:r w:rsidRPr="0092009C">
        <w:rPr>
          <w:rFonts w:ascii="Calibri" w:eastAsia="Calibri" w:hAnsi="Calibri" w:cs="AGA Rasheeq Bold"/>
          <w:sz w:val="52"/>
          <w:szCs w:val="52"/>
          <w:rtl/>
        </w:rPr>
        <w:t>تداخل اللغات</w:t>
      </w:r>
    </w:p>
    <w:p w:rsidR="009E6608" w:rsidRDefault="00E511C3" w:rsidP="009E6608">
      <w:pPr>
        <w:jc w:val="center"/>
        <w:rPr>
          <w:rFonts w:eastAsia="Times New Roman"/>
          <w:i/>
          <w:iCs/>
        </w:rPr>
      </w:pPr>
      <w:r>
        <w:rPr>
          <w:rFonts w:hint="cs"/>
          <w:rtl/>
        </w:rPr>
        <w:t>بحث فى النحو</w:t>
      </w:r>
      <w:r>
        <w:br/>
      </w:r>
      <w:proofErr w:type="spellStart"/>
      <w:r w:rsidR="009E6608">
        <w:rPr>
          <w:rFonts w:hint="cs"/>
          <w:i/>
          <w:iCs/>
          <w:rtl/>
        </w:rPr>
        <w:t>إعداد/</w:t>
      </w:r>
      <w:proofErr w:type="spellEnd"/>
      <w:r w:rsidR="009E6608">
        <w:rPr>
          <w:rFonts w:hint="cs"/>
          <w:i/>
          <w:iCs/>
          <w:rtl/>
        </w:rPr>
        <w:t xml:space="preserve"> د. وليد علي الطنطاوي</w:t>
      </w:r>
    </w:p>
    <w:p w:rsidR="009E6608" w:rsidRDefault="009E6608" w:rsidP="009E6608">
      <w:pPr>
        <w:bidi w:val="0"/>
        <w:jc w:val="center"/>
        <w:rPr>
          <w:rFonts w:eastAsia="SimSun"/>
          <w:i/>
          <w:iCs/>
          <w:sz w:val="20"/>
          <w:szCs w:val="20"/>
        </w:rPr>
      </w:pPr>
      <w:r>
        <w:rPr>
          <w:rFonts w:hint="cs"/>
          <w:i/>
          <w:iCs/>
          <w:rtl/>
        </w:rPr>
        <w:t>قسم اللغة العربية</w:t>
      </w:r>
    </w:p>
    <w:p w:rsidR="009E6608" w:rsidRDefault="009E6608" w:rsidP="009E6608">
      <w:pPr>
        <w:bidi w:val="0"/>
        <w:jc w:val="center"/>
        <w:rPr>
          <w:i/>
          <w:iCs/>
        </w:rPr>
      </w:pPr>
      <w:proofErr w:type="gramStart"/>
      <w:r>
        <w:rPr>
          <w:rFonts w:hint="cs"/>
          <w:i/>
          <w:iCs/>
          <w:rtl/>
        </w:rPr>
        <w:t>كلية</w:t>
      </w:r>
      <w:proofErr w:type="gramEnd"/>
      <w:r>
        <w:rPr>
          <w:rFonts w:hint="cs"/>
          <w:i/>
          <w:iCs/>
          <w:rtl/>
        </w:rPr>
        <w:t xml:space="preserve"> اللغات </w:t>
      </w:r>
      <w:proofErr w:type="spellStart"/>
      <w:r>
        <w:rPr>
          <w:rFonts w:hint="cs"/>
          <w:i/>
          <w:iCs/>
          <w:rtl/>
        </w:rPr>
        <w:t>–</w:t>
      </w:r>
      <w:proofErr w:type="spellEnd"/>
      <w:r>
        <w:rPr>
          <w:rFonts w:hint="cs"/>
          <w:i/>
          <w:iCs/>
          <w:rtl/>
        </w:rPr>
        <w:t xml:space="preserve"> جامعة المدينة العالمية</w:t>
      </w:r>
    </w:p>
    <w:p w:rsidR="009E6608" w:rsidRDefault="009E6608" w:rsidP="009E6608">
      <w:pPr>
        <w:bidi w:val="0"/>
        <w:jc w:val="center"/>
        <w:rPr>
          <w:i/>
          <w:iCs/>
        </w:rPr>
      </w:pPr>
      <w:r>
        <w:rPr>
          <w:rFonts w:hint="cs"/>
          <w:i/>
          <w:iCs/>
          <w:rtl/>
        </w:rPr>
        <w:t xml:space="preserve">شاه علم </w:t>
      </w:r>
      <w:proofErr w:type="spellStart"/>
      <w:r>
        <w:rPr>
          <w:rFonts w:hint="cs"/>
          <w:i/>
          <w:iCs/>
          <w:rtl/>
        </w:rPr>
        <w:t>-</w:t>
      </w:r>
      <w:proofErr w:type="spellEnd"/>
      <w:r>
        <w:rPr>
          <w:rFonts w:hint="cs"/>
          <w:i/>
          <w:iCs/>
          <w:rtl/>
        </w:rPr>
        <w:t xml:space="preserve"> ماليزيا</w:t>
      </w:r>
    </w:p>
    <w:p w:rsidR="009E6608" w:rsidRDefault="009E6608" w:rsidP="009E6608">
      <w:pPr>
        <w:bidi w:val="0"/>
        <w:jc w:val="center"/>
        <w:rPr>
          <w:i/>
          <w:iCs/>
        </w:rPr>
      </w:pPr>
      <w:r>
        <w:rPr>
          <w:i/>
          <w:iCs/>
        </w:rPr>
        <w:t>waleed.eltantawy@mediu.edu.my</w:t>
      </w:r>
    </w:p>
    <w:p w:rsidR="0092009C" w:rsidRDefault="0092009C" w:rsidP="009E6608">
      <w:pPr>
        <w:pStyle w:val="a3"/>
        <w:jc w:val="center"/>
        <w:rPr>
          <w:rFonts w:asciiTheme="majorBidi" w:hAnsiTheme="majorBidi" w:cstheme="majorBidi"/>
          <w:b/>
          <w:bCs/>
          <w:sz w:val="18"/>
          <w:szCs w:val="18"/>
          <w:rtl/>
        </w:rPr>
        <w:sectPr w:rsidR="0092009C" w:rsidSect="007E639D">
          <w:pgSz w:w="11906" w:h="16838"/>
          <w:pgMar w:top="1440" w:right="1440" w:bottom="1440" w:left="1440" w:header="720" w:footer="720" w:gutter="0"/>
          <w:cols w:space="720"/>
          <w:bidi/>
          <w:rtlGutter/>
          <w:docGrid w:linePitch="360"/>
        </w:sectPr>
      </w:pPr>
      <w:r>
        <w:br/>
      </w:r>
    </w:p>
    <w:p w:rsidR="0092009C" w:rsidRPr="0092009C" w:rsidRDefault="0092009C" w:rsidP="0092009C">
      <w:pPr>
        <w:pStyle w:val="a3"/>
        <w:jc w:val="right"/>
        <w:rPr>
          <w:rFonts w:asciiTheme="majorBidi" w:hAnsiTheme="majorBidi" w:cstheme="majorBidi"/>
          <w:b/>
          <w:bCs/>
          <w:sz w:val="18"/>
          <w:szCs w:val="18"/>
          <w:rtl/>
        </w:rPr>
      </w:pPr>
      <w:r w:rsidRPr="0092009C">
        <w:rPr>
          <w:rFonts w:asciiTheme="majorBidi" w:hAnsiTheme="majorBidi" w:cstheme="majorBidi"/>
          <w:b/>
          <w:bCs/>
          <w:sz w:val="18"/>
          <w:szCs w:val="18"/>
          <w:rtl/>
        </w:rPr>
        <w:lastRenderedPageBreak/>
        <w:t xml:space="preserve">الخلاصة – هذا البحث يبحث فى </w:t>
      </w:r>
      <w:r>
        <w:rPr>
          <w:rFonts w:asciiTheme="majorBidi" w:hAnsiTheme="majorBidi" w:cstheme="majorBidi" w:hint="cs"/>
          <w:b/>
          <w:bCs/>
          <w:sz w:val="18"/>
          <w:szCs w:val="18"/>
          <w:rtl/>
        </w:rPr>
        <w:t>تداخل اللغات</w:t>
      </w:r>
      <w:r w:rsidRPr="0092009C">
        <w:rPr>
          <w:rFonts w:asciiTheme="majorBidi" w:hAnsiTheme="majorBidi" w:cstheme="majorBidi"/>
          <w:b/>
          <w:bCs/>
          <w:sz w:val="18"/>
          <w:szCs w:val="18"/>
        </w:rPr>
        <w:br/>
      </w:r>
      <w:r w:rsidRPr="0092009C">
        <w:rPr>
          <w:rFonts w:asciiTheme="majorBidi" w:hAnsiTheme="majorBidi" w:cstheme="majorBidi"/>
          <w:b/>
          <w:bCs/>
          <w:sz w:val="18"/>
          <w:szCs w:val="18"/>
          <w:rtl/>
        </w:rPr>
        <w:t xml:space="preserve">الكلمات المفتاحية – </w:t>
      </w:r>
      <w:r>
        <w:rPr>
          <w:rFonts w:asciiTheme="majorBidi" w:hAnsiTheme="majorBidi" w:cstheme="majorBidi" w:hint="cs"/>
          <w:b/>
          <w:bCs/>
          <w:sz w:val="18"/>
          <w:szCs w:val="18"/>
          <w:rtl/>
        </w:rPr>
        <w:t>الاقتراح</w:t>
      </w:r>
      <w:r w:rsidRPr="0092009C">
        <w:rPr>
          <w:rFonts w:asciiTheme="majorBidi" w:hAnsiTheme="majorBidi" w:cstheme="majorBidi"/>
          <w:b/>
          <w:bCs/>
          <w:sz w:val="18"/>
          <w:szCs w:val="18"/>
          <w:rtl/>
        </w:rPr>
        <w:t xml:space="preserve">، </w:t>
      </w:r>
      <w:r>
        <w:rPr>
          <w:rFonts w:asciiTheme="majorBidi" w:hAnsiTheme="majorBidi" w:cstheme="majorBidi" w:hint="cs"/>
          <w:b/>
          <w:bCs/>
          <w:sz w:val="18"/>
          <w:szCs w:val="18"/>
          <w:rtl/>
        </w:rPr>
        <w:t>الطبعات</w:t>
      </w:r>
      <w:r w:rsidRPr="0092009C">
        <w:rPr>
          <w:rFonts w:asciiTheme="majorBidi" w:hAnsiTheme="majorBidi" w:cstheme="majorBidi"/>
          <w:b/>
          <w:bCs/>
          <w:sz w:val="18"/>
          <w:szCs w:val="18"/>
          <w:rtl/>
        </w:rPr>
        <w:t xml:space="preserve"> ، ال</w:t>
      </w:r>
      <w:r>
        <w:rPr>
          <w:rFonts w:asciiTheme="majorBidi" w:hAnsiTheme="majorBidi" w:cstheme="majorBidi" w:hint="cs"/>
          <w:b/>
          <w:bCs/>
          <w:sz w:val="18"/>
          <w:szCs w:val="18"/>
          <w:rtl/>
        </w:rPr>
        <w:t>لغات</w:t>
      </w:r>
    </w:p>
    <w:p w:rsidR="0092009C" w:rsidRPr="0092009C" w:rsidRDefault="0092009C" w:rsidP="0092009C">
      <w:pPr>
        <w:pStyle w:val="a3"/>
        <w:jc w:val="center"/>
        <w:rPr>
          <w:rFonts w:asciiTheme="majorBidi" w:hAnsiTheme="majorBidi" w:cstheme="majorBidi"/>
          <w:b/>
          <w:bCs/>
          <w:sz w:val="18"/>
          <w:szCs w:val="18"/>
          <w:lang w:bidi="ar-EG"/>
        </w:rPr>
      </w:pPr>
      <w:r w:rsidRPr="0092009C">
        <w:rPr>
          <w:rFonts w:asciiTheme="majorBidi" w:hAnsiTheme="majorBidi" w:cstheme="majorBidi"/>
          <w:b/>
          <w:bCs/>
          <w:sz w:val="18"/>
          <w:szCs w:val="18"/>
          <w:rtl/>
        </w:rPr>
        <w:t>المقدمة</w:t>
      </w:r>
      <w:r w:rsidRPr="0092009C">
        <w:rPr>
          <w:rFonts w:asciiTheme="majorBidi" w:hAnsiTheme="majorBidi" w:cstheme="majorBidi"/>
          <w:b/>
          <w:bCs/>
          <w:sz w:val="18"/>
          <w:szCs w:val="18"/>
          <w:lang w:bidi="ar-EG"/>
        </w:rPr>
        <w:t>.I</w:t>
      </w:r>
    </w:p>
    <w:p w:rsidR="0092009C" w:rsidRPr="0092009C" w:rsidRDefault="0092009C" w:rsidP="0092009C">
      <w:pPr>
        <w:pStyle w:val="a3"/>
        <w:jc w:val="right"/>
        <w:rPr>
          <w:rFonts w:asciiTheme="majorBidi" w:hAnsiTheme="majorBidi" w:cstheme="majorBidi"/>
          <w:b/>
          <w:bCs/>
          <w:sz w:val="18"/>
          <w:szCs w:val="18"/>
          <w:rtl/>
        </w:rPr>
      </w:pPr>
      <w:r w:rsidRPr="0092009C">
        <w:rPr>
          <w:rFonts w:asciiTheme="majorBidi" w:hAnsiTheme="majorBidi" w:cstheme="majorBidi"/>
          <w:b/>
          <w:bCs/>
          <w:sz w:val="18"/>
          <w:szCs w:val="18"/>
          <w:rtl/>
        </w:rPr>
        <w:t xml:space="preserve">الحمد لله رب العالمين، والصلاة والسلام على أشرف المرسلين سيدنا محمد، وعلى آله وصحبه والتابعين ، سوف نقوم في هذا البحث بمعرفة </w:t>
      </w:r>
      <w:r>
        <w:rPr>
          <w:rFonts w:asciiTheme="majorBidi" w:hAnsiTheme="majorBidi" w:cstheme="majorBidi" w:hint="cs"/>
          <w:b/>
          <w:bCs/>
          <w:sz w:val="18"/>
          <w:szCs w:val="18"/>
          <w:rtl/>
        </w:rPr>
        <w:t>تداخل اللغات</w:t>
      </w:r>
    </w:p>
    <w:p w:rsidR="0092009C" w:rsidRPr="0092009C" w:rsidRDefault="0092009C" w:rsidP="00E511C3">
      <w:pPr>
        <w:pStyle w:val="a3"/>
        <w:jc w:val="center"/>
        <w:rPr>
          <w:rFonts w:asciiTheme="majorBidi" w:hAnsiTheme="majorBidi" w:cstheme="majorBidi"/>
          <w:b/>
          <w:bCs/>
          <w:sz w:val="18"/>
          <w:szCs w:val="18"/>
        </w:rPr>
      </w:pPr>
      <w:r w:rsidRPr="0092009C">
        <w:rPr>
          <w:rFonts w:asciiTheme="majorBidi" w:hAnsiTheme="majorBidi" w:cstheme="majorBidi"/>
          <w:b/>
          <w:bCs/>
          <w:sz w:val="18"/>
          <w:szCs w:val="18"/>
          <w:rtl/>
        </w:rPr>
        <w:t>.</w:t>
      </w:r>
      <w:r w:rsidR="00E511C3">
        <w:rPr>
          <w:rFonts w:asciiTheme="majorBidi" w:hAnsiTheme="majorBidi" w:cstheme="majorBidi" w:hint="cs"/>
          <w:b/>
          <w:bCs/>
          <w:sz w:val="18"/>
          <w:szCs w:val="18"/>
          <w:rtl/>
        </w:rPr>
        <w:t>موضوع</w:t>
      </w:r>
      <w:r w:rsidRPr="0092009C">
        <w:rPr>
          <w:rFonts w:asciiTheme="majorBidi" w:hAnsiTheme="majorBidi" w:cstheme="majorBidi"/>
          <w:b/>
          <w:bCs/>
          <w:sz w:val="18"/>
          <w:szCs w:val="18"/>
          <w:rtl/>
        </w:rPr>
        <w:t xml:space="preserve"> المقال</w:t>
      </w:r>
      <w:r w:rsidRPr="0092009C">
        <w:rPr>
          <w:rFonts w:asciiTheme="majorBidi" w:hAnsiTheme="majorBidi" w:cstheme="majorBidi"/>
          <w:b/>
          <w:bCs/>
          <w:sz w:val="18"/>
          <w:szCs w:val="18"/>
        </w:rPr>
        <w:t>II</w:t>
      </w:r>
    </w:p>
    <w:p w:rsidR="0092009C" w:rsidRPr="0092009C" w:rsidRDefault="0092009C" w:rsidP="0092009C">
      <w:pPr>
        <w:pStyle w:val="a3"/>
        <w:bidi/>
        <w:spacing w:before="0" w:beforeAutospacing="0" w:after="120" w:afterAutospacing="0"/>
        <w:jc w:val="lowKashida"/>
        <w:rPr>
          <w:rFonts w:asciiTheme="majorBidi" w:hAnsiTheme="majorBidi" w:cstheme="majorBidi"/>
          <w:b/>
          <w:bCs/>
          <w:sz w:val="18"/>
          <w:szCs w:val="18"/>
        </w:rPr>
      </w:pPr>
      <w:r w:rsidRPr="0092009C">
        <w:rPr>
          <w:rFonts w:asciiTheme="majorBidi" w:hAnsiTheme="majorBidi" w:cstheme="majorBidi"/>
          <w:b/>
          <w:bCs/>
          <w:sz w:val="18"/>
          <w:szCs w:val="18"/>
          <w:rtl/>
        </w:rPr>
        <w:t>نشير إلى أن جُلَّ العنوانات في كتاب (الاقتراح) إنما هي من صنع محققه الدكتور أحمد محمد قاسم -طيب الله ثراه- يشهد بذلك خلوُّ شروح (الكتاب) من العنوانات، وخلو الطبعات الأخرى منها، ولكن عنوان: تداخل اللغات، لم يكن من صنع المحقق، وإنما كان من صنع المؤلف -رحمه الله رحمة واسعة- وقد وضع العنوان نفسه في كتابه (المزهر) النوع السابع عشر، وهو معرفة تداخل اللغات، ونقل في الكتابين عن كتاب (الخصائص) لابن جني، ولكنه غير العنوان؛ لأن ابن جني قد عبَّر عن هذا الفرع بقوله في (الخصائص): "باب في الفصيح يجتمع في كلامه لغتان فصاعدًا".</w:t>
      </w:r>
    </w:p>
    <w:p w:rsidR="0092009C" w:rsidRPr="0092009C" w:rsidRDefault="0092009C" w:rsidP="0092009C">
      <w:pPr>
        <w:pStyle w:val="a3"/>
        <w:bidi/>
        <w:spacing w:before="0" w:beforeAutospacing="0" w:after="120" w:afterAutospacing="0"/>
        <w:jc w:val="lowKashida"/>
        <w:rPr>
          <w:rFonts w:asciiTheme="majorBidi" w:hAnsiTheme="majorBidi" w:cstheme="majorBidi"/>
          <w:b/>
          <w:bCs/>
          <w:sz w:val="18"/>
          <w:szCs w:val="18"/>
        </w:rPr>
      </w:pPr>
      <w:r w:rsidRPr="0092009C">
        <w:rPr>
          <w:rFonts w:asciiTheme="majorBidi" w:hAnsiTheme="majorBidi" w:cstheme="majorBidi"/>
          <w:b/>
          <w:bCs/>
          <w:sz w:val="18"/>
          <w:szCs w:val="18"/>
          <w:rtl/>
        </w:rPr>
        <w:t>وقد ذكر الشراح (الاقتراح) أن العنوان الذي اختاره ابن جني أولى من العنوان الذي ذكره السيوطي؛ لأن تداخل اللغات يعني: دخول بعضها في بعض، والمقصود به عند أهل العربية أن تتكلَّم بلغة مركبة من لغتين، كأن يقال: رَكن يركن بالفتح في الماضي والمضارع، وهذا شيء لا يُعرف؛ إذ إن فتح العين في الماضي والمضارع لا يكون إلا إذا كانت العين أو اللام من أحرف الحلق، وهي الهمز والهاء والعين والحاء والغين والخاء، نحو: فتح يفتح، وبدأ يبدأ، ونهى ينهى، ونأى ينأى إلى آخره، فإن لم تكن العين أو اللام من أحرف الحلق؛ لم يُعرف في كلام العرب فتح العين في الماضي والمضارع إلا في لفظة واحدة، وهي: أبى يأبى، وليس لها ثانٍ، فإن قيل: ركن يركن بفتح العين فيهما كان فيه تداخل لغتين؛ لأن ركن بفتح العين في الماضي لغة فصيحة، ومضارعه يركن بضم العين في المضارع، وأما يركن بفتح العين في المضارع، فهو مضارع لركن المكسور، فإن قيل: ركن يركن بالفتح فيهما، كان فيه تداخل لغتين وتركيبهما، حتى صارتَا لغة واحدة، وهو غير المراد من هذا الباب.</w:t>
      </w:r>
    </w:p>
    <w:p w:rsidR="0092009C" w:rsidRPr="0092009C" w:rsidRDefault="0092009C" w:rsidP="0092009C">
      <w:pPr>
        <w:pStyle w:val="a3"/>
        <w:bidi/>
        <w:spacing w:before="0" w:beforeAutospacing="0" w:after="120" w:afterAutospacing="0"/>
        <w:jc w:val="lowKashida"/>
        <w:rPr>
          <w:rFonts w:asciiTheme="majorBidi" w:hAnsiTheme="majorBidi" w:cstheme="majorBidi"/>
          <w:b/>
          <w:bCs/>
          <w:sz w:val="18"/>
          <w:szCs w:val="18"/>
        </w:rPr>
      </w:pPr>
      <w:r w:rsidRPr="0092009C">
        <w:rPr>
          <w:rFonts w:asciiTheme="majorBidi" w:hAnsiTheme="majorBidi" w:cstheme="majorBidi"/>
          <w:b/>
          <w:bCs/>
          <w:sz w:val="18"/>
          <w:szCs w:val="18"/>
          <w:rtl/>
        </w:rPr>
        <w:t>وقد أفرد ابن جني لتداخل اللغات بابًا آخر عنوانه: باب في تركب اللغات، وجاء فيه بأنواع من التداخل التي أورد السيوطي بعضها، وأشار شراح كتاب (الاقتراح) إلى أن السيوطي قد خلط بين بابين؛ هما: باب الفصيح يجتمع في كلامه لغتان فصاعدًا، وباب: تركب اللغات، حتى ذكر أحد شراح (الاقتراح) أن السيوطي قد أجحف بكلام ابن جني غاية الإجحاف، وجعل بابين مستقلّين في فرع واحد، وأدخل بعضهما في بعض، ولا بد من مراجعة كلام ابن جني، ووضع هذا العنصر في أمرين يتناول أحدهما اجتماعَ لغتين، ويتناول الآخر تداخلَ اللغات.</w:t>
      </w:r>
    </w:p>
    <w:p w:rsidR="0092009C" w:rsidRPr="0092009C" w:rsidRDefault="0092009C" w:rsidP="0092009C">
      <w:pPr>
        <w:pStyle w:val="a3"/>
        <w:bidi/>
        <w:spacing w:before="0" w:beforeAutospacing="0" w:after="120" w:afterAutospacing="0"/>
        <w:jc w:val="lowKashida"/>
        <w:rPr>
          <w:rFonts w:asciiTheme="majorBidi" w:hAnsiTheme="majorBidi" w:cstheme="majorBidi"/>
          <w:b/>
          <w:bCs/>
          <w:sz w:val="18"/>
          <w:szCs w:val="18"/>
        </w:rPr>
      </w:pPr>
      <w:r w:rsidRPr="0092009C">
        <w:rPr>
          <w:rFonts w:asciiTheme="majorBidi" w:hAnsiTheme="majorBidi" w:cstheme="majorBidi"/>
          <w:b/>
          <w:bCs/>
          <w:sz w:val="18"/>
          <w:szCs w:val="18"/>
          <w:rtl/>
        </w:rPr>
        <w:t xml:space="preserve">وبِناءً على ما سبق يندرج هنا أمران: </w:t>
      </w:r>
    </w:p>
    <w:p w:rsidR="0092009C" w:rsidRPr="0092009C" w:rsidRDefault="0092009C" w:rsidP="0092009C">
      <w:pPr>
        <w:pStyle w:val="a3"/>
        <w:bidi/>
        <w:spacing w:before="0" w:beforeAutospacing="0" w:after="120" w:afterAutospacing="0"/>
        <w:jc w:val="lowKashida"/>
        <w:rPr>
          <w:rFonts w:asciiTheme="majorBidi" w:hAnsiTheme="majorBidi" w:cstheme="majorBidi"/>
          <w:b/>
          <w:bCs/>
          <w:sz w:val="18"/>
          <w:szCs w:val="18"/>
        </w:rPr>
      </w:pPr>
      <w:r w:rsidRPr="0092009C">
        <w:rPr>
          <w:rFonts w:asciiTheme="majorBidi" w:hAnsiTheme="majorBidi" w:cstheme="majorBidi"/>
          <w:b/>
          <w:bCs/>
          <w:sz w:val="18"/>
          <w:szCs w:val="18"/>
          <w:rtl/>
        </w:rPr>
        <w:t xml:space="preserve">الأول: اجتماع لغتين فصاعدًا في كلام فصيح. </w:t>
      </w:r>
    </w:p>
    <w:p w:rsidR="0092009C" w:rsidRPr="0092009C" w:rsidRDefault="0092009C" w:rsidP="0092009C">
      <w:pPr>
        <w:pStyle w:val="a3"/>
        <w:bidi/>
        <w:spacing w:before="0" w:beforeAutospacing="0" w:after="120" w:afterAutospacing="0"/>
        <w:jc w:val="lowKashida"/>
        <w:rPr>
          <w:rFonts w:asciiTheme="majorBidi" w:hAnsiTheme="majorBidi" w:cstheme="majorBidi"/>
          <w:b/>
          <w:bCs/>
          <w:sz w:val="18"/>
          <w:szCs w:val="18"/>
        </w:rPr>
      </w:pPr>
      <w:r w:rsidRPr="0092009C">
        <w:rPr>
          <w:rFonts w:asciiTheme="majorBidi" w:hAnsiTheme="majorBidi" w:cstheme="majorBidi"/>
          <w:b/>
          <w:bCs/>
          <w:sz w:val="18"/>
          <w:szCs w:val="18"/>
          <w:rtl/>
        </w:rPr>
        <w:lastRenderedPageBreak/>
        <w:t>الثاني: تداخل لغتين.</w:t>
      </w:r>
    </w:p>
    <w:p w:rsidR="0092009C" w:rsidRPr="0092009C" w:rsidRDefault="0092009C" w:rsidP="0092009C">
      <w:pPr>
        <w:pStyle w:val="a3"/>
        <w:bidi/>
        <w:spacing w:before="0" w:beforeAutospacing="0" w:after="120" w:afterAutospacing="0"/>
        <w:jc w:val="lowKashida"/>
        <w:rPr>
          <w:rFonts w:asciiTheme="majorBidi" w:hAnsiTheme="majorBidi" w:cstheme="majorBidi"/>
          <w:b/>
          <w:bCs/>
          <w:sz w:val="18"/>
          <w:szCs w:val="18"/>
        </w:rPr>
      </w:pPr>
      <w:r w:rsidRPr="0092009C">
        <w:rPr>
          <w:rFonts w:asciiTheme="majorBidi" w:hAnsiTheme="majorBidi" w:cstheme="majorBidi"/>
          <w:b/>
          <w:bCs/>
          <w:sz w:val="18"/>
          <w:szCs w:val="18"/>
          <w:rtl/>
        </w:rPr>
        <w:t xml:space="preserve">الأمر الأول: وهو اجتماع لغتين فصاعدًا في كلامٍ فصيحٍ، فنقول: </w:t>
      </w:r>
    </w:p>
    <w:p w:rsidR="0092009C" w:rsidRPr="0092009C" w:rsidRDefault="0092009C" w:rsidP="0092009C">
      <w:pPr>
        <w:pStyle w:val="a3"/>
        <w:bidi/>
        <w:spacing w:before="0" w:beforeAutospacing="0" w:after="120" w:afterAutospacing="0"/>
        <w:jc w:val="lowKashida"/>
        <w:rPr>
          <w:rFonts w:asciiTheme="majorBidi" w:hAnsiTheme="majorBidi" w:cstheme="majorBidi"/>
          <w:b/>
          <w:bCs/>
          <w:sz w:val="18"/>
          <w:szCs w:val="18"/>
        </w:rPr>
      </w:pPr>
      <w:r w:rsidRPr="0092009C">
        <w:rPr>
          <w:rFonts w:asciiTheme="majorBidi" w:hAnsiTheme="majorBidi" w:cstheme="majorBidi"/>
          <w:b/>
          <w:bCs/>
          <w:sz w:val="18"/>
          <w:szCs w:val="18"/>
          <w:rtl/>
        </w:rPr>
        <w:t xml:space="preserve">إن اجتماع لغتين فصاعدًا في كلام فصيح ليس نذرًا قليلًا، وإنما هو كثير في كلام الفصحاء كثرة ظاهرة حتى وصفه ابن جني بقوله "وما اجتمعت في لغتان أو ثلاث أكثر من أن يحاط به". انتهى. </w:t>
      </w:r>
    </w:p>
    <w:p w:rsidR="0092009C" w:rsidRPr="0092009C" w:rsidRDefault="0092009C" w:rsidP="0092009C">
      <w:pPr>
        <w:pStyle w:val="a3"/>
        <w:bidi/>
        <w:spacing w:before="0" w:beforeAutospacing="0" w:after="120" w:afterAutospacing="0"/>
        <w:jc w:val="lowKashida"/>
        <w:rPr>
          <w:rFonts w:asciiTheme="majorBidi" w:hAnsiTheme="majorBidi" w:cstheme="majorBidi"/>
          <w:b/>
          <w:bCs/>
          <w:sz w:val="18"/>
          <w:szCs w:val="18"/>
          <w:rtl/>
        </w:rPr>
      </w:pPr>
      <w:r w:rsidRPr="0092009C">
        <w:rPr>
          <w:rFonts w:asciiTheme="majorBidi" w:hAnsiTheme="majorBidi" w:cstheme="majorBidi"/>
          <w:b/>
          <w:bCs/>
          <w:sz w:val="18"/>
          <w:szCs w:val="18"/>
          <w:rtl/>
        </w:rPr>
        <w:t>ومما اجتمعت في لغتان قول لبيد بن أبي ربيعة العامري:</w:t>
      </w:r>
    </w:p>
    <w:tbl>
      <w:tblPr>
        <w:bidiVisual/>
        <w:tblW w:w="0" w:type="auto"/>
        <w:jc w:val="center"/>
        <w:tblLook w:val="01E0"/>
      </w:tblPr>
      <w:tblGrid>
        <w:gridCol w:w="1906"/>
        <w:gridCol w:w="534"/>
        <w:gridCol w:w="1929"/>
      </w:tblGrid>
      <w:tr w:rsidR="0092009C" w:rsidRPr="0092009C" w:rsidTr="00F30183">
        <w:trPr>
          <w:trHeight w:hRule="exact" w:val="510"/>
          <w:jc w:val="center"/>
        </w:trPr>
        <w:tc>
          <w:tcPr>
            <w:tcW w:w="2909" w:type="dxa"/>
            <w:vAlign w:val="center"/>
          </w:tcPr>
          <w:p w:rsidR="0092009C" w:rsidRPr="0092009C" w:rsidRDefault="0092009C" w:rsidP="0092009C">
            <w:pPr>
              <w:spacing w:after="120" w:line="240" w:lineRule="auto"/>
              <w:jc w:val="both"/>
              <w:rPr>
                <w:rFonts w:asciiTheme="majorBidi" w:hAnsiTheme="majorBidi" w:cstheme="majorBidi"/>
                <w:b/>
                <w:bCs/>
                <w:sz w:val="18"/>
                <w:szCs w:val="18"/>
                <w:rtl/>
              </w:rPr>
            </w:pPr>
            <w:r w:rsidRPr="0092009C">
              <w:rPr>
                <w:rFonts w:asciiTheme="majorBidi" w:eastAsia="Calibri" w:hAnsiTheme="majorBidi" w:cstheme="majorBidi"/>
                <w:b/>
                <w:bCs/>
                <w:sz w:val="18"/>
                <w:szCs w:val="18"/>
                <w:rtl/>
                <w:lang w:eastAsia="en-MY"/>
              </w:rPr>
              <w:t>سقى قومي بني مجد وأسقى</w:t>
            </w:r>
            <w:r w:rsidRPr="0092009C">
              <w:rPr>
                <w:rFonts w:asciiTheme="majorBidi" w:eastAsia="Calibri" w:hAnsiTheme="majorBidi" w:cstheme="majorBidi"/>
                <w:b/>
                <w:bCs/>
                <w:sz w:val="18"/>
                <w:szCs w:val="18"/>
                <w:rtl/>
                <w:lang w:eastAsia="en-MY"/>
              </w:rPr>
              <w:br/>
            </w:r>
          </w:p>
        </w:tc>
        <w:tc>
          <w:tcPr>
            <w:tcW w:w="709" w:type="dxa"/>
            <w:vAlign w:val="center"/>
          </w:tcPr>
          <w:p w:rsidR="0092009C" w:rsidRPr="0092009C" w:rsidRDefault="0092009C" w:rsidP="0092009C">
            <w:pPr>
              <w:spacing w:after="120" w:line="240" w:lineRule="auto"/>
              <w:jc w:val="center"/>
              <w:rPr>
                <w:rFonts w:asciiTheme="majorBidi" w:hAnsiTheme="majorBidi" w:cstheme="majorBidi"/>
                <w:b/>
                <w:bCs/>
                <w:sz w:val="18"/>
                <w:szCs w:val="18"/>
                <w:rtl/>
              </w:rPr>
            </w:pPr>
            <w:r w:rsidRPr="0092009C">
              <w:rPr>
                <w:rFonts w:asciiTheme="majorBidi" w:hAnsiTheme="majorBidi" w:cstheme="majorBidi"/>
                <w:b/>
                <w:bCs/>
                <w:sz w:val="18"/>
                <w:szCs w:val="18"/>
                <w:rtl/>
              </w:rPr>
              <w:t>*</w:t>
            </w:r>
          </w:p>
        </w:tc>
        <w:tc>
          <w:tcPr>
            <w:tcW w:w="2909" w:type="dxa"/>
            <w:vAlign w:val="center"/>
          </w:tcPr>
          <w:p w:rsidR="0092009C" w:rsidRPr="0092009C" w:rsidRDefault="0092009C" w:rsidP="0092009C">
            <w:pPr>
              <w:spacing w:after="120" w:line="240" w:lineRule="auto"/>
              <w:jc w:val="both"/>
              <w:rPr>
                <w:rFonts w:asciiTheme="majorBidi" w:eastAsia="Calibri" w:hAnsiTheme="majorBidi" w:cstheme="majorBidi"/>
                <w:b/>
                <w:bCs/>
                <w:sz w:val="18"/>
                <w:szCs w:val="18"/>
                <w:lang w:eastAsia="en-MY"/>
              </w:rPr>
            </w:pPr>
            <w:r w:rsidRPr="0092009C">
              <w:rPr>
                <w:rFonts w:asciiTheme="majorBidi" w:eastAsia="Calibri" w:hAnsiTheme="majorBidi" w:cstheme="majorBidi"/>
                <w:b/>
                <w:bCs/>
                <w:sz w:val="18"/>
                <w:szCs w:val="18"/>
                <w:rtl/>
                <w:lang w:eastAsia="en-MY"/>
              </w:rPr>
              <w:t>نميرًا والقبائل من هلال</w:t>
            </w:r>
            <w:r w:rsidRPr="0092009C">
              <w:rPr>
                <w:rFonts w:asciiTheme="majorBidi" w:eastAsia="Calibri" w:hAnsiTheme="majorBidi" w:cstheme="majorBidi"/>
                <w:b/>
                <w:bCs/>
                <w:sz w:val="18"/>
                <w:szCs w:val="18"/>
                <w:rtl/>
                <w:lang w:eastAsia="en-MY"/>
              </w:rPr>
              <w:br/>
            </w:r>
          </w:p>
        </w:tc>
      </w:tr>
    </w:tbl>
    <w:p w:rsidR="0092009C" w:rsidRPr="0092009C" w:rsidRDefault="0092009C" w:rsidP="0092009C">
      <w:pPr>
        <w:pStyle w:val="a3"/>
        <w:bidi/>
        <w:spacing w:before="0" w:beforeAutospacing="0" w:after="120" w:afterAutospacing="0"/>
        <w:jc w:val="lowKashida"/>
        <w:rPr>
          <w:rFonts w:asciiTheme="majorBidi" w:hAnsiTheme="majorBidi" w:cstheme="majorBidi"/>
          <w:b/>
          <w:bCs/>
          <w:sz w:val="18"/>
          <w:szCs w:val="18"/>
        </w:rPr>
      </w:pPr>
      <w:r w:rsidRPr="0092009C">
        <w:rPr>
          <w:rFonts w:asciiTheme="majorBidi" w:hAnsiTheme="majorBidi" w:cstheme="majorBidi"/>
          <w:b/>
          <w:bCs/>
          <w:sz w:val="18"/>
          <w:szCs w:val="18"/>
          <w:rtl/>
        </w:rPr>
        <w:t xml:space="preserve">فجمع بين الفعلين سقى المجرد، وأسقى المزيد بحرف، وهما بمعنًى واحد، يقال: سقيت الرجل، وأسقيته، كما يقال: سقاه الله الغيث وأسقاه. </w:t>
      </w:r>
    </w:p>
    <w:p w:rsidR="0092009C" w:rsidRPr="0092009C" w:rsidRDefault="0092009C" w:rsidP="0092009C">
      <w:pPr>
        <w:pStyle w:val="a3"/>
        <w:bidi/>
        <w:spacing w:before="0" w:beforeAutospacing="0" w:after="120" w:afterAutospacing="0"/>
        <w:jc w:val="lowKashida"/>
        <w:rPr>
          <w:rFonts w:asciiTheme="majorBidi" w:hAnsiTheme="majorBidi" w:cstheme="majorBidi"/>
          <w:b/>
          <w:bCs/>
          <w:sz w:val="18"/>
          <w:szCs w:val="18"/>
          <w:rtl/>
        </w:rPr>
      </w:pPr>
      <w:r w:rsidRPr="0092009C">
        <w:rPr>
          <w:rFonts w:asciiTheme="majorBidi" w:hAnsiTheme="majorBidi" w:cstheme="majorBidi"/>
          <w:b/>
          <w:bCs/>
          <w:sz w:val="18"/>
          <w:szCs w:val="18"/>
          <w:rtl/>
        </w:rPr>
        <w:t>ومنه أيضًا قول الشاعر:</w:t>
      </w:r>
    </w:p>
    <w:tbl>
      <w:tblPr>
        <w:bidiVisual/>
        <w:tblW w:w="0" w:type="auto"/>
        <w:jc w:val="center"/>
        <w:tblLook w:val="01E0"/>
      </w:tblPr>
      <w:tblGrid>
        <w:gridCol w:w="1890"/>
        <w:gridCol w:w="537"/>
        <w:gridCol w:w="1942"/>
      </w:tblGrid>
      <w:tr w:rsidR="0092009C" w:rsidRPr="0092009C" w:rsidTr="00F30183">
        <w:trPr>
          <w:trHeight w:hRule="exact" w:val="510"/>
          <w:jc w:val="center"/>
        </w:trPr>
        <w:tc>
          <w:tcPr>
            <w:tcW w:w="2909" w:type="dxa"/>
            <w:vAlign w:val="center"/>
          </w:tcPr>
          <w:p w:rsidR="0092009C" w:rsidRPr="0092009C" w:rsidRDefault="0092009C" w:rsidP="0092009C">
            <w:pPr>
              <w:spacing w:after="120" w:line="240" w:lineRule="auto"/>
              <w:jc w:val="both"/>
              <w:rPr>
                <w:rFonts w:asciiTheme="majorBidi" w:hAnsiTheme="majorBidi" w:cstheme="majorBidi"/>
                <w:b/>
                <w:bCs/>
                <w:sz w:val="18"/>
                <w:szCs w:val="18"/>
                <w:rtl/>
              </w:rPr>
            </w:pPr>
            <w:r w:rsidRPr="0092009C">
              <w:rPr>
                <w:rFonts w:asciiTheme="majorBidi" w:eastAsia="Calibri" w:hAnsiTheme="majorBidi" w:cstheme="majorBidi"/>
                <w:b/>
                <w:bCs/>
                <w:sz w:val="18"/>
                <w:szCs w:val="18"/>
                <w:rtl/>
                <w:lang w:eastAsia="en-MY"/>
              </w:rPr>
              <w:t>أما ابن طوق فقد أوفى بذمَّته</w:t>
            </w:r>
            <w:r w:rsidRPr="0092009C">
              <w:rPr>
                <w:rFonts w:asciiTheme="majorBidi" w:eastAsia="Calibri" w:hAnsiTheme="majorBidi" w:cstheme="majorBidi"/>
                <w:b/>
                <w:bCs/>
                <w:sz w:val="18"/>
                <w:szCs w:val="18"/>
                <w:rtl/>
                <w:lang w:eastAsia="en-MY"/>
              </w:rPr>
              <w:br/>
            </w:r>
          </w:p>
        </w:tc>
        <w:tc>
          <w:tcPr>
            <w:tcW w:w="709" w:type="dxa"/>
            <w:vAlign w:val="center"/>
          </w:tcPr>
          <w:p w:rsidR="0092009C" w:rsidRPr="0092009C" w:rsidRDefault="0092009C" w:rsidP="0092009C">
            <w:pPr>
              <w:spacing w:after="120" w:line="240" w:lineRule="auto"/>
              <w:jc w:val="center"/>
              <w:rPr>
                <w:rFonts w:asciiTheme="majorBidi" w:hAnsiTheme="majorBidi" w:cstheme="majorBidi"/>
                <w:b/>
                <w:bCs/>
                <w:sz w:val="18"/>
                <w:szCs w:val="18"/>
                <w:rtl/>
              </w:rPr>
            </w:pPr>
            <w:r w:rsidRPr="0092009C">
              <w:rPr>
                <w:rFonts w:asciiTheme="majorBidi" w:hAnsiTheme="majorBidi" w:cstheme="majorBidi"/>
                <w:b/>
                <w:bCs/>
                <w:sz w:val="18"/>
                <w:szCs w:val="18"/>
                <w:rtl/>
              </w:rPr>
              <w:t>*</w:t>
            </w:r>
          </w:p>
        </w:tc>
        <w:tc>
          <w:tcPr>
            <w:tcW w:w="2909" w:type="dxa"/>
            <w:vAlign w:val="center"/>
          </w:tcPr>
          <w:p w:rsidR="0092009C" w:rsidRPr="0092009C" w:rsidRDefault="0092009C" w:rsidP="0092009C">
            <w:pPr>
              <w:spacing w:after="120" w:line="240" w:lineRule="auto"/>
              <w:jc w:val="both"/>
              <w:rPr>
                <w:rFonts w:asciiTheme="majorBidi" w:eastAsia="Calibri" w:hAnsiTheme="majorBidi" w:cstheme="majorBidi"/>
                <w:b/>
                <w:bCs/>
                <w:sz w:val="18"/>
                <w:szCs w:val="18"/>
                <w:lang w:eastAsia="en-MY"/>
              </w:rPr>
            </w:pPr>
            <w:r w:rsidRPr="0092009C">
              <w:rPr>
                <w:rFonts w:asciiTheme="majorBidi" w:eastAsia="Calibri" w:hAnsiTheme="majorBidi" w:cstheme="majorBidi"/>
                <w:b/>
                <w:bCs/>
                <w:sz w:val="18"/>
                <w:szCs w:val="18"/>
                <w:rtl/>
                <w:lang w:eastAsia="en-MY"/>
              </w:rPr>
              <w:t>كما وفى بخلاص النجم حاديها</w:t>
            </w:r>
            <w:r w:rsidRPr="0092009C">
              <w:rPr>
                <w:rFonts w:asciiTheme="majorBidi" w:eastAsia="Calibri" w:hAnsiTheme="majorBidi" w:cstheme="majorBidi"/>
                <w:b/>
                <w:bCs/>
                <w:sz w:val="18"/>
                <w:szCs w:val="18"/>
                <w:rtl/>
                <w:lang w:eastAsia="en-MY"/>
              </w:rPr>
              <w:br/>
            </w:r>
          </w:p>
        </w:tc>
      </w:tr>
    </w:tbl>
    <w:p w:rsidR="0092009C" w:rsidRPr="0092009C" w:rsidRDefault="0092009C" w:rsidP="0092009C">
      <w:pPr>
        <w:pStyle w:val="a3"/>
        <w:bidi/>
        <w:spacing w:before="0" w:beforeAutospacing="0" w:after="120" w:afterAutospacing="0"/>
        <w:jc w:val="lowKashida"/>
        <w:rPr>
          <w:rFonts w:asciiTheme="majorBidi" w:hAnsiTheme="majorBidi" w:cstheme="majorBidi"/>
          <w:b/>
          <w:bCs/>
          <w:sz w:val="18"/>
          <w:szCs w:val="18"/>
        </w:rPr>
      </w:pPr>
      <w:r w:rsidRPr="0092009C">
        <w:rPr>
          <w:rFonts w:asciiTheme="majorBidi" w:hAnsiTheme="majorBidi" w:cstheme="majorBidi"/>
          <w:b/>
          <w:bCs/>
          <w:sz w:val="18"/>
          <w:szCs w:val="18"/>
          <w:rtl/>
        </w:rPr>
        <w:t>فجمع بين الفعلين "وفى" المجرد و"أوفى" المزيد، وهما بمعنًى واحد، يقال: وفى بعهده وأوفى بمعنًى.</w:t>
      </w:r>
    </w:p>
    <w:p w:rsidR="0092009C" w:rsidRPr="0092009C" w:rsidRDefault="0092009C" w:rsidP="0092009C">
      <w:pPr>
        <w:pStyle w:val="a3"/>
        <w:bidi/>
        <w:spacing w:before="0" w:beforeAutospacing="0"/>
        <w:jc w:val="lowKashida"/>
        <w:rPr>
          <w:rFonts w:asciiTheme="majorBidi" w:hAnsiTheme="majorBidi" w:cstheme="majorBidi"/>
          <w:b/>
          <w:bCs/>
          <w:sz w:val="18"/>
          <w:szCs w:val="18"/>
          <w:rtl/>
        </w:rPr>
      </w:pPr>
      <w:r w:rsidRPr="0092009C">
        <w:rPr>
          <w:rFonts w:asciiTheme="majorBidi" w:hAnsiTheme="majorBidi" w:cstheme="majorBidi"/>
          <w:b/>
          <w:bCs/>
          <w:sz w:val="18"/>
          <w:szCs w:val="18"/>
          <w:rtl/>
        </w:rPr>
        <w:t>ومنه قول الشاعر:</w:t>
      </w:r>
    </w:p>
    <w:tbl>
      <w:tblPr>
        <w:bidiVisual/>
        <w:tblW w:w="0" w:type="auto"/>
        <w:jc w:val="center"/>
        <w:tblLook w:val="01E0"/>
      </w:tblPr>
      <w:tblGrid>
        <w:gridCol w:w="1932"/>
        <w:gridCol w:w="535"/>
        <w:gridCol w:w="1902"/>
      </w:tblGrid>
      <w:tr w:rsidR="0092009C" w:rsidRPr="0092009C" w:rsidTr="00F30183">
        <w:trPr>
          <w:trHeight w:hRule="exact" w:val="510"/>
          <w:jc w:val="center"/>
        </w:trPr>
        <w:tc>
          <w:tcPr>
            <w:tcW w:w="2909" w:type="dxa"/>
            <w:vAlign w:val="center"/>
          </w:tcPr>
          <w:p w:rsidR="0092009C" w:rsidRPr="0092009C" w:rsidRDefault="0092009C" w:rsidP="0092009C">
            <w:pPr>
              <w:spacing w:after="120" w:line="240" w:lineRule="auto"/>
              <w:jc w:val="both"/>
              <w:rPr>
                <w:rFonts w:asciiTheme="majorBidi" w:hAnsiTheme="majorBidi" w:cstheme="majorBidi"/>
                <w:b/>
                <w:bCs/>
                <w:sz w:val="18"/>
                <w:szCs w:val="18"/>
                <w:rtl/>
              </w:rPr>
            </w:pPr>
            <w:r w:rsidRPr="0092009C">
              <w:rPr>
                <w:rFonts w:asciiTheme="majorBidi" w:eastAsia="Calibri" w:hAnsiTheme="majorBidi" w:cstheme="majorBidi"/>
                <w:b/>
                <w:bCs/>
                <w:sz w:val="18"/>
                <w:szCs w:val="18"/>
                <w:rtl/>
                <w:lang w:eastAsia="en-MY"/>
              </w:rPr>
              <w:t>وأشرب الماء ما بي نحوه عطش</w:t>
            </w:r>
            <w:r w:rsidRPr="0092009C">
              <w:rPr>
                <w:rFonts w:asciiTheme="majorBidi" w:eastAsia="Calibri" w:hAnsiTheme="majorBidi" w:cstheme="majorBidi"/>
                <w:b/>
                <w:bCs/>
                <w:sz w:val="18"/>
                <w:szCs w:val="18"/>
                <w:rtl/>
                <w:lang w:eastAsia="en-MY"/>
              </w:rPr>
              <w:br/>
            </w:r>
          </w:p>
        </w:tc>
        <w:tc>
          <w:tcPr>
            <w:tcW w:w="709" w:type="dxa"/>
            <w:vAlign w:val="center"/>
          </w:tcPr>
          <w:p w:rsidR="0092009C" w:rsidRPr="0092009C" w:rsidRDefault="0092009C" w:rsidP="0092009C">
            <w:pPr>
              <w:spacing w:after="120" w:line="240" w:lineRule="auto"/>
              <w:jc w:val="center"/>
              <w:rPr>
                <w:rFonts w:asciiTheme="majorBidi" w:hAnsiTheme="majorBidi" w:cstheme="majorBidi"/>
                <w:b/>
                <w:bCs/>
                <w:sz w:val="18"/>
                <w:szCs w:val="18"/>
                <w:rtl/>
              </w:rPr>
            </w:pPr>
            <w:r w:rsidRPr="0092009C">
              <w:rPr>
                <w:rFonts w:asciiTheme="majorBidi" w:hAnsiTheme="majorBidi" w:cstheme="majorBidi"/>
                <w:b/>
                <w:bCs/>
                <w:sz w:val="18"/>
                <w:szCs w:val="18"/>
                <w:rtl/>
              </w:rPr>
              <w:t>*</w:t>
            </w:r>
          </w:p>
        </w:tc>
        <w:tc>
          <w:tcPr>
            <w:tcW w:w="2909" w:type="dxa"/>
            <w:vAlign w:val="center"/>
          </w:tcPr>
          <w:p w:rsidR="0092009C" w:rsidRPr="0092009C" w:rsidRDefault="0092009C" w:rsidP="0092009C">
            <w:pPr>
              <w:spacing w:after="120" w:line="240" w:lineRule="auto"/>
              <w:jc w:val="both"/>
              <w:rPr>
                <w:rFonts w:asciiTheme="majorBidi" w:eastAsia="Calibri" w:hAnsiTheme="majorBidi" w:cstheme="majorBidi"/>
                <w:b/>
                <w:bCs/>
                <w:sz w:val="18"/>
                <w:szCs w:val="18"/>
                <w:lang w:eastAsia="en-MY"/>
              </w:rPr>
            </w:pPr>
            <w:r w:rsidRPr="0092009C">
              <w:rPr>
                <w:rFonts w:asciiTheme="majorBidi" w:eastAsia="Calibri" w:hAnsiTheme="majorBidi" w:cstheme="majorBidi"/>
                <w:b/>
                <w:bCs/>
                <w:sz w:val="18"/>
                <w:szCs w:val="18"/>
                <w:rtl/>
                <w:lang w:eastAsia="en-MY"/>
              </w:rPr>
              <w:t>إلا لأن عيونه سيل واديها</w:t>
            </w:r>
            <w:r w:rsidRPr="0092009C">
              <w:rPr>
                <w:rFonts w:asciiTheme="majorBidi" w:eastAsia="Calibri" w:hAnsiTheme="majorBidi" w:cstheme="majorBidi"/>
                <w:b/>
                <w:bCs/>
                <w:sz w:val="18"/>
                <w:szCs w:val="18"/>
                <w:rtl/>
                <w:lang w:eastAsia="en-MY"/>
              </w:rPr>
              <w:br/>
            </w:r>
          </w:p>
        </w:tc>
      </w:tr>
    </w:tbl>
    <w:p w:rsidR="0092009C" w:rsidRPr="0092009C" w:rsidRDefault="0092009C" w:rsidP="0092009C">
      <w:pPr>
        <w:pStyle w:val="a3"/>
        <w:bidi/>
        <w:spacing w:before="0" w:beforeAutospacing="0" w:after="120" w:afterAutospacing="0"/>
        <w:jc w:val="lowKashida"/>
        <w:rPr>
          <w:rFonts w:asciiTheme="majorBidi" w:hAnsiTheme="majorBidi" w:cstheme="majorBidi"/>
          <w:b/>
          <w:bCs/>
          <w:sz w:val="18"/>
          <w:szCs w:val="18"/>
        </w:rPr>
      </w:pPr>
      <w:r w:rsidRPr="0092009C">
        <w:rPr>
          <w:rFonts w:asciiTheme="majorBidi" w:hAnsiTheme="majorBidi" w:cstheme="majorBidi"/>
          <w:b/>
          <w:bCs/>
          <w:sz w:val="18"/>
          <w:szCs w:val="18"/>
          <w:rtl/>
        </w:rPr>
        <w:t xml:space="preserve">فأشبع الهاء من قوله نحوه لأنها تتولَّد عن الضمة فيُنطق بها لفظًا ولا ترسم في الخط، وأسكن الهاء من قوله: عيونه، والإشباع والإسكان لغتان اجتمعتَا في كلام فصيح، والإشباع أفصح اللغتين. </w:t>
      </w:r>
    </w:p>
    <w:p w:rsidR="0092009C" w:rsidRPr="0092009C" w:rsidRDefault="0092009C" w:rsidP="0092009C">
      <w:pPr>
        <w:pStyle w:val="a3"/>
        <w:bidi/>
        <w:spacing w:before="0" w:beforeAutospacing="0"/>
        <w:jc w:val="lowKashida"/>
        <w:rPr>
          <w:rFonts w:asciiTheme="majorBidi" w:hAnsiTheme="majorBidi" w:cstheme="majorBidi"/>
          <w:b/>
          <w:bCs/>
          <w:sz w:val="18"/>
          <w:szCs w:val="18"/>
          <w:rtl/>
        </w:rPr>
      </w:pPr>
      <w:r w:rsidRPr="0092009C">
        <w:rPr>
          <w:rFonts w:asciiTheme="majorBidi" w:hAnsiTheme="majorBidi" w:cstheme="majorBidi"/>
          <w:b/>
          <w:bCs/>
          <w:sz w:val="18"/>
          <w:szCs w:val="18"/>
          <w:rtl/>
        </w:rPr>
        <w:t>وزعم الزجاج أن هناك لغة ثالثة وهي ضم الهاء من غير إشباع، وزعم أن من هذه اللغة قول الشاعر:</w:t>
      </w:r>
    </w:p>
    <w:tbl>
      <w:tblPr>
        <w:bidiVisual/>
        <w:tblW w:w="0" w:type="auto"/>
        <w:jc w:val="center"/>
        <w:tblLook w:val="01E0"/>
      </w:tblPr>
      <w:tblGrid>
        <w:gridCol w:w="1904"/>
        <w:gridCol w:w="537"/>
        <w:gridCol w:w="1928"/>
      </w:tblGrid>
      <w:tr w:rsidR="0092009C" w:rsidRPr="0092009C" w:rsidTr="00F30183">
        <w:trPr>
          <w:trHeight w:hRule="exact" w:val="510"/>
          <w:jc w:val="center"/>
        </w:trPr>
        <w:tc>
          <w:tcPr>
            <w:tcW w:w="2909" w:type="dxa"/>
            <w:vAlign w:val="center"/>
          </w:tcPr>
          <w:p w:rsidR="0092009C" w:rsidRPr="0092009C" w:rsidRDefault="0092009C" w:rsidP="0092009C">
            <w:pPr>
              <w:spacing w:after="120" w:line="240" w:lineRule="auto"/>
              <w:jc w:val="both"/>
              <w:rPr>
                <w:rFonts w:asciiTheme="majorBidi" w:hAnsiTheme="majorBidi" w:cstheme="majorBidi"/>
                <w:b/>
                <w:bCs/>
                <w:sz w:val="18"/>
                <w:szCs w:val="18"/>
                <w:rtl/>
              </w:rPr>
            </w:pPr>
            <w:r w:rsidRPr="0092009C">
              <w:rPr>
                <w:rFonts w:asciiTheme="majorBidi" w:eastAsia="Calibri" w:hAnsiTheme="majorBidi" w:cstheme="majorBidi"/>
                <w:b/>
                <w:bCs/>
                <w:sz w:val="18"/>
                <w:szCs w:val="18"/>
                <w:rtl/>
                <w:lang w:eastAsia="en-MY"/>
              </w:rPr>
              <w:t>له زجل كأنه صوت حاد</w:t>
            </w:r>
            <w:r w:rsidRPr="0092009C">
              <w:rPr>
                <w:rFonts w:asciiTheme="majorBidi" w:eastAsia="Calibri" w:hAnsiTheme="majorBidi" w:cstheme="majorBidi"/>
                <w:b/>
                <w:bCs/>
                <w:sz w:val="18"/>
                <w:szCs w:val="18"/>
                <w:rtl/>
                <w:lang w:eastAsia="en-MY"/>
              </w:rPr>
              <w:br/>
            </w:r>
          </w:p>
        </w:tc>
        <w:tc>
          <w:tcPr>
            <w:tcW w:w="709" w:type="dxa"/>
            <w:vAlign w:val="center"/>
          </w:tcPr>
          <w:p w:rsidR="0092009C" w:rsidRPr="0092009C" w:rsidRDefault="0092009C" w:rsidP="0092009C">
            <w:pPr>
              <w:spacing w:after="120" w:line="240" w:lineRule="auto"/>
              <w:jc w:val="center"/>
              <w:rPr>
                <w:rFonts w:asciiTheme="majorBidi" w:hAnsiTheme="majorBidi" w:cstheme="majorBidi"/>
                <w:b/>
                <w:bCs/>
                <w:sz w:val="18"/>
                <w:szCs w:val="18"/>
                <w:rtl/>
              </w:rPr>
            </w:pPr>
            <w:r w:rsidRPr="0092009C">
              <w:rPr>
                <w:rFonts w:asciiTheme="majorBidi" w:hAnsiTheme="majorBidi" w:cstheme="majorBidi"/>
                <w:b/>
                <w:bCs/>
                <w:sz w:val="18"/>
                <w:szCs w:val="18"/>
                <w:rtl/>
              </w:rPr>
              <w:t>*</w:t>
            </w:r>
          </w:p>
        </w:tc>
        <w:tc>
          <w:tcPr>
            <w:tcW w:w="2909" w:type="dxa"/>
            <w:vAlign w:val="center"/>
          </w:tcPr>
          <w:p w:rsidR="0092009C" w:rsidRPr="0092009C" w:rsidRDefault="0092009C" w:rsidP="0092009C">
            <w:pPr>
              <w:spacing w:after="120" w:line="240" w:lineRule="auto"/>
              <w:jc w:val="both"/>
              <w:rPr>
                <w:rFonts w:asciiTheme="majorBidi" w:eastAsia="Calibri" w:hAnsiTheme="majorBidi" w:cstheme="majorBidi"/>
                <w:b/>
                <w:bCs/>
                <w:sz w:val="18"/>
                <w:szCs w:val="18"/>
                <w:lang w:eastAsia="en-MY"/>
              </w:rPr>
            </w:pPr>
            <w:r w:rsidRPr="0092009C">
              <w:rPr>
                <w:rFonts w:asciiTheme="majorBidi" w:eastAsia="Calibri" w:hAnsiTheme="majorBidi" w:cstheme="majorBidi"/>
                <w:b/>
                <w:bCs/>
                <w:sz w:val="18"/>
                <w:szCs w:val="18"/>
                <w:rtl/>
                <w:lang w:eastAsia="en-MY"/>
              </w:rPr>
              <w:t>إذا طلب الوثيقة أو زمير</w:t>
            </w:r>
            <w:r w:rsidRPr="0092009C">
              <w:rPr>
                <w:rFonts w:asciiTheme="majorBidi" w:eastAsia="Calibri" w:hAnsiTheme="majorBidi" w:cstheme="majorBidi"/>
                <w:b/>
                <w:bCs/>
                <w:sz w:val="18"/>
                <w:szCs w:val="18"/>
                <w:rtl/>
                <w:lang w:eastAsia="en-MY"/>
              </w:rPr>
              <w:br/>
            </w:r>
          </w:p>
        </w:tc>
      </w:tr>
    </w:tbl>
    <w:p w:rsidR="0092009C" w:rsidRPr="0092009C" w:rsidRDefault="0092009C" w:rsidP="0092009C">
      <w:pPr>
        <w:pStyle w:val="a3"/>
        <w:bidi/>
        <w:spacing w:before="0" w:beforeAutospacing="0" w:after="120" w:afterAutospacing="0"/>
        <w:jc w:val="lowKashida"/>
        <w:rPr>
          <w:rFonts w:asciiTheme="majorBidi" w:hAnsiTheme="majorBidi" w:cstheme="majorBidi"/>
          <w:b/>
          <w:bCs/>
          <w:sz w:val="18"/>
          <w:szCs w:val="18"/>
        </w:rPr>
      </w:pPr>
      <w:r w:rsidRPr="0092009C">
        <w:rPr>
          <w:rFonts w:asciiTheme="majorBidi" w:hAnsiTheme="majorBidi" w:cstheme="majorBidi"/>
          <w:b/>
          <w:bCs/>
          <w:sz w:val="18"/>
          <w:szCs w:val="18"/>
          <w:rtl/>
        </w:rPr>
        <w:t>فالهاء من قوله: "له" مشبعة على اللغة الفصحى، والهاء من قوله: "كأنه" مضمومة من غير إشباع، وليس ضمها من غير إشباع لغة ثالثة، كما زعم الزجاج، بل هو ضرورة من الضرائر التي تسوغ للشاعر دون الناثر، وقد ذكر سيبويه هذا البيت في (الكتاب) في باب: ما يحتمل الشعر، واقتفى أثره ابن جني فذكر أنه ينبغي أن يكون ذلك ضرورة وصنعة لا مذهب ولغة؛ لضعفه في القياس، ووجه ضعفه أنه ليس على مذهب الوصل، ولا على مذهب الوقف.</w:t>
      </w:r>
    </w:p>
    <w:p w:rsidR="0092009C" w:rsidRPr="0092009C" w:rsidRDefault="0092009C" w:rsidP="0092009C">
      <w:pPr>
        <w:pStyle w:val="a3"/>
        <w:bidi/>
        <w:spacing w:before="0" w:beforeAutospacing="0" w:after="120" w:afterAutospacing="0"/>
        <w:jc w:val="lowKashida"/>
        <w:rPr>
          <w:rFonts w:asciiTheme="majorBidi" w:hAnsiTheme="majorBidi" w:cstheme="majorBidi"/>
          <w:b/>
          <w:bCs/>
          <w:sz w:val="18"/>
          <w:szCs w:val="18"/>
        </w:rPr>
      </w:pPr>
      <w:r w:rsidRPr="0092009C">
        <w:rPr>
          <w:rFonts w:asciiTheme="majorBidi" w:hAnsiTheme="majorBidi" w:cstheme="majorBidi"/>
          <w:b/>
          <w:bCs/>
          <w:sz w:val="18"/>
          <w:szCs w:val="18"/>
          <w:rtl/>
        </w:rPr>
        <w:t xml:space="preserve">أما الوصل فيُوجب إثبات واوه في اللفظ لا في الكتابة: كلقيته أمس، وأما الوقف فيوجب الإسكان: كلقيته وكلمته، ولما كان قول الشاعر: "كأنه" في البيت السابق على غير مذهب الوصل هو مذهب الوقف؛ تعيَّن أن يكون ذلك ضرورة لا لغة. </w:t>
      </w:r>
    </w:p>
    <w:p w:rsidR="0092009C" w:rsidRPr="0092009C" w:rsidRDefault="0092009C" w:rsidP="0092009C">
      <w:pPr>
        <w:pStyle w:val="a3"/>
        <w:bidi/>
        <w:spacing w:before="0" w:beforeAutospacing="0" w:after="120" w:afterAutospacing="0"/>
        <w:jc w:val="lowKashida"/>
        <w:rPr>
          <w:rFonts w:asciiTheme="majorBidi" w:hAnsiTheme="majorBidi" w:cstheme="majorBidi"/>
          <w:b/>
          <w:bCs/>
          <w:sz w:val="18"/>
          <w:szCs w:val="18"/>
        </w:rPr>
      </w:pPr>
      <w:r w:rsidRPr="0092009C">
        <w:rPr>
          <w:rFonts w:asciiTheme="majorBidi" w:hAnsiTheme="majorBidi" w:cstheme="majorBidi"/>
          <w:b/>
          <w:bCs/>
          <w:sz w:val="18"/>
          <w:szCs w:val="18"/>
          <w:rtl/>
        </w:rPr>
        <w:lastRenderedPageBreak/>
        <w:t xml:space="preserve">وإذ انتهينا إلى أن اجتماع لغتين فصاعدًا كثير في كلام الفصحاء يجدر بنا أن نتساءل: كيف اجتمعت اللغتان في كلام الفصيح؟. </w:t>
      </w:r>
    </w:p>
    <w:p w:rsidR="0092009C" w:rsidRPr="0092009C" w:rsidRDefault="0092009C" w:rsidP="0092009C">
      <w:pPr>
        <w:pStyle w:val="a3"/>
        <w:bidi/>
        <w:spacing w:before="0" w:beforeAutospacing="0" w:after="120" w:afterAutospacing="0"/>
        <w:jc w:val="lowKashida"/>
        <w:rPr>
          <w:rFonts w:asciiTheme="majorBidi" w:hAnsiTheme="majorBidi" w:cstheme="majorBidi"/>
          <w:b/>
          <w:bCs/>
          <w:sz w:val="18"/>
          <w:szCs w:val="18"/>
        </w:rPr>
      </w:pPr>
      <w:r w:rsidRPr="0092009C">
        <w:rPr>
          <w:rFonts w:asciiTheme="majorBidi" w:hAnsiTheme="majorBidi" w:cstheme="majorBidi"/>
          <w:b/>
          <w:bCs/>
          <w:sz w:val="18"/>
          <w:szCs w:val="18"/>
          <w:rtl/>
        </w:rPr>
        <w:t>وللإجابة عن هذا التساؤل لا بد من النظر في حال المتكلم الفصيح الذي اجتمعت لغتان في كلامه. فإما أن تكون اللغتان اللتان اشتملا عليهما كلامه متساويتين في كثرة استعمالهما، أو لا، فإن كانت اللفظتان في كلامه متساويتين في الاستعمال ففي اجتماع الكلمتين احتمالان:</w:t>
      </w:r>
    </w:p>
    <w:p w:rsidR="0092009C" w:rsidRPr="0092009C" w:rsidRDefault="0092009C" w:rsidP="0092009C">
      <w:pPr>
        <w:pStyle w:val="a3"/>
        <w:bidi/>
        <w:spacing w:before="0" w:beforeAutospacing="0" w:after="120" w:afterAutospacing="0"/>
        <w:jc w:val="lowKashida"/>
        <w:rPr>
          <w:rFonts w:asciiTheme="majorBidi" w:hAnsiTheme="majorBidi" w:cstheme="majorBidi"/>
          <w:b/>
          <w:bCs/>
          <w:sz w:val="18"/>
          <w:szCs w:val="18"/>
        </w:rPr>
      </w:pPr>
      <w:r w:rsidRPr="0092009C">
        <w:rPr>
          <w:rFonts w:asciiTheme="majorBidi" w:hAnsiTheme="majorBidi" w:cstheme="majorBidi"/>
          <w:b/>
          <w:bCs/>
          <w:sz w:val="18"/>
          <w:szCs w:val="18"/>
          <w:rtl/>
        </w:rPr>
        <w:t xml:space="preserve">الأول: أن تكون القبيلة التي ينتمي إليها هذا المتكلم قد اصطلحت على وضع اللفظتين لمعنًى واحد. </w:t>
      </w:r>
    </w:p>
    <w:p w:rsidR="0092009C" w:rsidRPr="0092009C" w:rsidRDefault="0092009C" w:rsidP="0092009C">
      <w:pPr>
        <w:pStyle w:val="a3"/>
        <w:bidi/>
        <w:spacing w:before="0" w:beforeAutospacing="0" w:after="120" w:afterAutospacing="0"/>
        <w:jc w:val="lowKashida"/>
        <w:rPr>
          <w:rFonts w:asciiTheme="majorBidi" w:hAnsiTheme="majorBidi" w:cstheme="majorBidi"/>
          <w:b/>
          <w:bCs/>
          <w:sz w:val="18"/>
          <w:szCs w:val="18"/>
        </w:rPr>
      </w:pPr>
      <w:r w:rsidRPr="0092009C">
        <w:rPr>
          <w:rFonts w:asciiTheme="majorBidi" w:hAnsiTheme="majorBidi" w:cstheme="majorBidi"/>
          <w:b/>
          <w:bCs/>
          <w:sz w:val="18"/>
          <w:szCs w:val="18"/>
          <w:rtl/>
        </w:rPr>
        <w:t>الثاني: أن تكون إحدى اللفظتين من لغة القبيلة التي ينتمي إليها هذا المتكلم، ثم إنه استفاد الأخرى من قبيلة أخرى وطال بها عهده وكثر استعماله لها؛ فلحقت لطول المدة واتصال الاستعمال بلغته الأولى، وأقرب هذين الاحتمالين إلى الصحة، وأحقهما بالقبول هو الأول؛ لأن العرب قد تضع الألفاظ الكثيرة للمعنى الواحد وهو الترادف؛ فرارًا من التكرار وإعادة اللفظ بعينه، والداعي إلى ذلك أمران:</w:t>
      </w:r>
    </w:p>
    <w:p w:rsidR="0092009C" w:rsidRPr="0092009C" w:rsidRDefault="0092009C" w:rsidP="0092009C">
      <w:pPr>
        <w:pStyle w:val="a3"/>
        <w:bidi/>
        <w:spacing w:before="0" w:beforeAutospacing="0" w:after="120" w:afterAutospacing="0"/>
        <w:jc w:val="lowKashida"/>
        <w:rPr>
          <w:rFonts w:asciiTheme="majorBidi" w:hAnsiTheme="majorBidi" w:cstheme="majorBidi"/>
          <w:b/>
          <w:bCs/>
          <w:sz w:val="18"/>
          <w:szCs w:val="18"/>
        </w:rPr>
      </w:pPr>
      <w:r w:rsidRPr="0092009C">
        <w:rPr>
          <w:rFonts w:asciiTheme="majorBidi" w:hAnsiTheme="majorBidi" w:cstheme="majorBidi"/>
          <w:b/>
          <w:bCs/>
          <w:sz w:val="18"/>
          <w:szCs w:val="18"/>
          <w:rtl/>
        </w:rPr>
        <w:t xml:space="preserve">أحدهما: الحاجة إليه في أوزان أشعارها. </w:t>
      </w:r>
    </w:p>
    <w:p w:rsidR="0092009C" w:rsidRPr="0092009C" w:rsidRDefault="0092009C" w:rsidP="0092009C">
      <w:pPr>
        <w:pStyle w:val="a3"/>
        <w:bidi/>
        <w:spacing w:before="0" w:beforeAutospacing="0" w:after="120" w:afterAutospacing="0"/>
        <w:jc w:val="lowKashida"/>
        <w:rPr>
          <w:rFonts w:asciiTheme="majorBidi" w:hAnsiTheme="majorBidi" w:cstheme="majorBidi"/>
          <w:b/>
          <w:bCs/>
          <w:sz w:val="18"/>
          <w:szCs w:val="18"/>
        </w:rPr>
      </w:pPr>
      <w:r w:rsidRPr="0092009C">
        <w:rPr>
          <w:rFonts w:asciiTheme="majorBidi" w:hAnsiTheme="majorBidi" w:cstheme="majorBidi"/>
          <w:b/>
          <w:bCs/>
          <w:sz w:val="18"/>
          <w:szCs w:val="18"/>
          <w:rtl/>
        </w:rPr>
        <w:t xml:space="preserve">الآخر: لأن العرب تفرُّ من التكرار وإعادة اللفظ بعينه لما فيه من استكراه السامع، والثقالة على المستمع. أما إيراد المعنى الواحد في قوالب مختلفة من الألفاظ فقد نبَّه أئمة الأدب على عدِّه من التفنن العجيب والتصرف الغريب. </w:t>
      </w:r>
    </w:p>
    <w:p w:rsidR="0092009C" w:rsidRPr="0092009C" w:rsidRDefault="0092009C" w:rsidP="0092009C">
      <w:pPr>
        <w:pStyle w:val="a3"/>
        <w:bidi/>
        <w:spacing w:before="0" w:beforeAutospacing="0" w:after="120" w:afterAutospacing="0"/>
        <w:jc w:val="lowKashida"/>
        <w:rPr>
          <w:rFonts w:asciiTheme="majorBidi" w:hAnsiTheme="majorBidi" w:cstheme="majorBidi"/>
          <w:b/>
          <w:bCs/>
          <w:sz w:val="18"/>
          <w:szCs w:val="18"/>
        </w:rPr>
      </w:pPr>
      <w:r w:rsidRPr="0092009C">
        <w:rPr>
          <w:rFonts w:asciiTheme="majorBidi" w:hAnsiTheme="majorBidi" w:cstheme="majorBidi"/>
          <w:b/>
          <w:bCs/>
          <w:sz w:val="18"/>
          <w:szCs w:val="18"/>
          <w:rtl/>
        </w:rPr>
        <w:t>وإذا كانت إحدى اللفظتين أكثر في كلامه من الأخرى ففي اجتماعهما احتمالان:</w:t>
      </w:r>
    </w:p>
    <w:p w:rsidR="0092009C" w:rsidRPr="0092009C" w:rsidRDefault="0092009C" w:rsidP="0092009C">
      <w:pPr>
        <w:pStyle w:val="a3"/>
        <w:bidi/>
        <w:spacing w:before="0" w:beforeAutospacing="0" w:after="120" w:afterAutospacing="0"/>
        <w:jc w:val="lowKashida"/>
        <w:rPr>
          <w:rFonts w:asciiTheme="majorBidi" w:hAnsiTheme="majorBidi" w:cstheme="majorBidi"/>
          <w:b/>
          <w:bCs/>
          <w:sz w:val="18"/>
          <w:szCs w:val="18"/>
        </w:rPr>
      </w:pPr>
      <w:r w:rsidRPr="0092009C">
        <w:rPr>
          <w:rFonts w:asciiTheme="majorBidi" w:hAnsiTheme="majorBidi" w:cstheme="majorBidi"/>
          <w:b/>
          <w:bCs/>
          <w:sz w:val="18"/>
          <w:szCs w:val="18"/>
          <w:rtl/>
        </w:rPr>
        <w:t xml:space="preserve">الأول: أن تكون اللفظة التي كثر استعمالها في كلامه هي لغته الأصلية، وتكون اللفظة الأخرى التي قل استعماله إيَّاها هي الجديدة المستحدثة. </w:t>
      </w:r>
    </w:p>
    <w:p w:rsidR="0092009C" w:rsidRPr="0092009C" w:rsidRDefault="0092009C" w:rsidP="0092009C">
      <w:pPr>
        <w:pStyle w:val="a3"/>
        <w:bidi/>
        <w:spacing w:before="0" w:beforeAutospacing="0" w:after="120" w:afterAutospacing="0"/>
        <w:jc w:val="lowKashida"/>
        <w:rPr>
          <w:rFonts w:asciiTheme="majorBidi" w:hAnsiTheme="majorBidi" w:cstheme="majorBidi"/>
          <w:b/>
          <w:bCs/>
          <w:sz w:val="18"/>
          <w:szCs w:val="18"/>
        </w:rPr>
      </w:pPr>
      <w:r w:rsidRPr="0092009C">
        <w:rPr>
          <w:rFonts w:asciiTheme="majorBidi" w:hAnsiTheme="majorBidi" w:cstheme="majorBidi"/>
          <w:b/>
          <w:bCs/>
          <w:sz w:val="18"/>
          <w:szCs w:val="18"/>
          <w:rtl/>
        </w:rPr>
        <w:t>الثاني: أن تكون اللفظتان معنى اللغتين له ولقبيلته، وإنما قلت إحداهما لضعفها أو شذوذها، ومذهب العربي الاستخفاف بالأضعف واستعمال الأقوى؛ لأن الأقوى أحق وأحرى، كما أنهم لا يستعملون المجاز إلا لضرب من المبالغة.</w:t>
      </w:r>
    </w:p>
    <w:p w:rsidR="0092009C" w:rsidRPr="0092009C" w:rsidRDefault="0092009C" w:rsidP="0092009C">
      <w:pPr>
        <w:pStyle w:val="a3"/>
        <w:bidi/>
        <w:spacing w:after="120" w:afterAutospacing="0"/>
        <w:jc w:val="lowKashida"/>
        <w:rPr>
          <w:rFonts w:asciiTheme="majorBidi" w:hAnsiTheme="majorBidi" w:cstheme="majorBidi"/>
          <w:b/>
          <w:bCs/>
          <w:sz w:val="18"/>
          <w:szCs w:val="18"/>
        </w:rPr>
      </w:pPr>
      <w:r w:rsidRPr="0092009C">
        <w:rPr>
          <w:rFonts w:asciiTheme="majorBidi" w:hAnsiTheme="majorBidi" w:cstheme="majorBidi"/>
          <w:b/>
          <w:bCs/>
          <w:sz w:val="18"/>
          <w:szCs w:val="18"/>
          <w:rtl/>
        </w:rPr>
        <w:t>الأمر الثاني: وهو تداخل لغتين وهو الذي عنوانه في (الخصائص) باب في تركب اللغات، ومعناه: أن يؤخذ الماضي من لغة والمضارع أو الوصف من لغة أخرى لا تنطق بالماضي كذلك، فمثال ما أُخذ المضارع من لغة أخرى قول بعضهم: قنط يقنط بفتح العين في الماضي والمضارع، وهما لغتان تداخلتا؛ لأن الفعل الماضي قنط بفتح العين يكون مضارعه يقنط بكسر العين في المضارع. أما الفعل قنط بكسر العين في الماضي فمضارعه يقنط بفتح العين في المضارع، ثم تداخلت اللغتان فتركبت لغة ثالثة بفتح العين في الماضي والمضارع.</w:t>
      </w:r>
    </w:p>
    <w:p w:rsidR="0092009C" w:rsidRPr="0092009C" w:rsidRDefault="0092009C" w:rsidP="0092009C">
      <w:pPr>
        <w:pStyle w:val="a3"/>
        <w:bidi/>
        <w:spacing w:before="0" w:beforeAutospacing="0" w:after="120" w:afterAutospacing="0"/>
        <w:jc w:val="lowKashida"/>
        <w:rPr>
          <w:rFonts w:asciiTheme="majorBidi" w:hAnsiTheme="majorBidi" w:cstheme="majorBidi"/>
          <w:b/>
          <w:bCs/>
          <w:sz w:val="18"/>
          <w:szCs w:val="18"/>
        </w:rPr>
      </w:pPr>
      <w:r w:rsidRPr="0092009C">
        <w:rPr>
          <w:rFonts w:asciiTheme="majorBidi" w:hAnsiTheme="majorBidi" w:cstheme="majorBidi"/>
          <w:b/>
          <w:bCs/>
          <w:sz w:val="18"/>
          <w:szCs w:val="18"/>
          <w:rtl/>
        </w:rPr>
        <w:t xml:space="preserve">ومثاله أيضًا قول بعضهم: قلى يقلى بفتح العين في الماضي والمضارع على غير قياس؛ لأن مضارع قلى المفتوح العين هو يقلي بكسر العين نحو: رمى يرمي، ومضارع قلي المكسور العين هو يقلَى بفتح العين، فتركبت من اللغتين لغة ثالثة. ومثاله أيضًا قول بعضهم: فضل يفضل </w:t>
      </w:r>
      <w:r w:rsidRPr="0092009C">
        <w:rPr>
          <w:rFonts w:asciiTheme="majorBidi" w:hAnsiTheme="majorBidi" w:cstheme="majorBidi"/>
          <w:b/>
          <w:bCs/>
          <w:sz w:val="18"/>
          <w:szCs w:val="18"/>
          <w:rtl/>
        </w:rPr>
        <w:lastRenderedPageBreak/>
        <w:t>بكسر العين في الماضي وضمها في المضارع، وهما لغتان تداخلتا؛ لأن من العرب من يقول: فضل يفضل بفتح العين في الماضي وضمها في المضارع، ومنهم مَن يقول: فضل يفضل بكسر العين في الماضي وفتحها في المضارع، فمن قال: فضل يفضل بكسر العين في الماضي وضمها في المضارع؛ فقد أخذ الماضي من لغة والمضارع من لغة أخرى.</w:t>
      </w:r>
    </w:p>
    <w:p w:rsidR="0092009C" w:rsidRPr="0092009C" w:rsidRDefault="0092009C" w:rsidP="0092009C">
      <w:pPr>
        <w:pStyle w:val="a3"/>
        <w:bidi/>
        <w:spacing w:before="0" w:beforeAutospacing="0" w:after="120" w:afterAutospacing="0"/>
        <w:jc w:val="lowKashida"/>
        <w:rPr>
          <w:rFonts w:asciiTheme="majorBidi" w:hAnsiTheme="majorBidi" w:cstheme="majorBidi"/>
          <w:b/>
          <w:bCs/>
          <w:sz w:val="18"/>
          <w:szCs w:val="18"/>
        </w:rPr>
      </w:pPr>
      <w:r w:rsidRPr="0092009C">
        <w:rPr>
          <w:rFonts w:asciiTheme="majorBidi" w:hAnsiTheme="majorBidi" w:cstheme="majorBidi"/>
          <w:b/>
          <w:bCs/>
          <w:sz w:val="18"/>
          <w:szCs w:val="18"/>
          <w:rtl/>
        </w:rPr>
        <w:t>ومثال ما أخذ الوصف من لغة أخرى قول بعضهم: طهر فهو طاهر، وشعر فهو شاعر بضم العين في الفعلين: طهر وشعر، وجاء اسم الفاعل منهما على وزن فاعل، والأصل أن اسم الفاعل يكون على وزن فاعل من الثلاثي مفتوح العين أو مكسورها نحو: ضرب فهو ضارب، ولعب فهو لاعب. أما الثلاثي المضموم العين فاسم الفاعل منه على وزن فعيل نحو: كرم فهو كريم، وشرف فهو شريف. وقد بيَّن ابن جني أن سبب تداخل اللغتين هو أن أصحاب اللغتين قد تلاقيَا فسمع هذا لغةَ هذا، وسمع هذا لغة هذا؛ فأخذ كل واحد من صاحبه ما ضمَّه إلى لغته.</w:t>
      </w:r>
    </w:p>
    <w:p w:rsidR="00AB09CA" w:rsidRDefault="00AB09CA" w:rsidP="00AB09CA">
      <w:pPr>
        <w:widowControl w:val="0"/>
        <w:spacing w:after="120" w:line="240" w:lineRule="auto"/>
        <w:jc w:val="center"/>
        <w:rPr>
          <w:rFonts w:asciiTheme="majorBidi" w:eastAsia="Calibri" w:hAnsiTheme="majorBidi" w:cstheme="majorBidi"/>
          <w:b/>
          <w:bCs/>
          <w:sz w:val="18"/>
          <w:szCs w:val="18"/>
        </w:rPr>
      </w:pPr>
      <w:r>
        <w:rPr>
          <w:rFonts w:asciiTheme="majorBidi" w:eastAsia="Calibri" w:hAnsiTheme="majorBidi" w:cstheme="majorBidi"/>
          <w:b/>
          <w:bCs/>
          <w:sz w:val="18"/>
          <w:szCs w:val="18"/>
          <w:rtl/>
        </w:rPr>
        <w:t>المراجع والمصادر</w:t>
      </w:r>
    </w:p>
    <w:p w:rsidR="00AB09CA" w:rsidRDefault="00AB09CA" w:rsidP="00AB09CA">
      <w:pPr>
        <w:numPr>
          <w:ilvl w:val="0"/>
          <w:numId w:val="2"/>
        </w:numPr>
        <w:spacing w:after="120" w:line="240" w:lineRule="auto"/>
        <w:jc w:val="lowKashida"/>
        <w:rPr>
          <w:rFonts w:asciiTheme="majorBidi" w:eastAsia="SimSun" w:hAnsiTheme="majorBidi" w:cstheme="majorBidi"/>
          <w:b/>
          <w:bCs/>
          <w:sz w:val="18"/>
          <w:szCs w:val="18"/>
          <w:rtl/>
          <w:lang w:bidi="ar-EG"/>
        </w:rPr>
      </w:pPr>
      <w:r>
        <w:rPr>
          <w:rFonts w:asciiTheme="majorBidi" w:hAnsiTheme="majorBidi" w:cstheme="majorBidi"/>
          <w:b/>
          <w:bCs/>
          <w:sz w:val="18"/>
          <w:szCs w:val="18"/>
          <w:rtl/>
        </w:rPr>
        <w:t>السيوطي</w:t>
      </w:r>
      <w:r>
        <w:rPr>
          <w:rFonts w:asciiTheme="majorBidi" w:hAnsiTheme="majorBidi" w:cstheme="majorBidi"/>
          <w:b/>
          <w:bCs/>
          <w:noProof/>
          <w:sz w:val="18"/>
          <w:szCs w:val="18"/>
          <w:rtl/>
        </w:rPr>
        <w:t xml:space="preserve"> ، </w:t>
      </w:r>
      <w:r>
        <w:rPr>
          <w:rFonts w:asciiTheme="majorBidi" w:hAnsiTheme="majorBidi" w:cstheme="majorBidi"/>
          <w:b/>
          <w:bCs/>
          <w:sz w:val="18"/>
          <w:szCs w:val="18"/>
          <w:rtl/>
        </w:rPr>
        <w:t>جلال الدين عبد الرحمن بن كمال السيوطي</w:t>
      </w:r>
      <w:r>
        <w:rPr>
          <w:rFonts w:asciiTheme="majorBidi" w:hAnsiTheme="majorBidi" w:cstheme="majorBidi"/>
          <w:b/>
          <w:bCs/>
          <w:noProof/>
          <w:sz w:val="18"/>
          <w:szCs w:val="18"/>
          <w:rtl/>
        </w:rPr>
        <w:t xml:space="preserve"> (</w:t>
      </w:r>
      <w:r>
        <w:rPr>
          <w:rFonts w:asciiTheme="majorBidi" w:hAnsiTheme="majorBidi" w:cstheme="majorBidi"/>
          <w:b/>
          <w:bCs/>
          <w:sz w:val="18"/>
          <w:szCs w:val="18"/>
          <w:rtl/>
        </w:rPr>
        <w:t>الاقتراح في علم أصول النحو) ، تحقيق طه عبد الرؤوف سعد، مكتبة الصفا، 1999م</w:t>
      </w:r>
      <w:r>
        <w:rPr>
          <w:rFonts w:asciiTheme="majorBidi" w:eastAsia="SimSun" w:hAnsiTheme="majorBidi" w:cstheme="majorBidi"/>
          <w:b/>
          <w:bCs/>
          <w:sz w:val="18"/>
          <w:szCs w:val="18"/>
          <w:rtl/>
          <w:lang w:bidi="ar-EG"/>
        </w:rPr>
        <w:t>.</w:t>
      </w:r>
    </w:p>
    <w:p w:rsidR="00AB09CA" w:rsidRDefault="00AB09CA" w:rsidP="00AB09CA">
      <w:pPr>
        <w:numPr>
          <w:ilvl w:val="0"/>
          <w:numId w:val="2"/>
        </w:numPr>
        <w:spacing w:after="120" w:line="240" w:lineRule="auto"/>
        <w:ind w:left="284" w:firstLine="283"/>
        <w:jc w:val="lowKashida"/>
        <w:rPr>
          <w:rFonts w:asciiTheme="majorBidi" w:eastAsia="SimSun" w:hAnsiTheme="majorBidi" w:cstheme="majorBidi"/>
          <w:b/>
          <w:bCs/>
          <w:sz w:val="18"/>
          <w:szCs w:val="18"/>
          <w:rtl/>
        </w:rPr>
      </w:pPr>
      <w:r>
        <w:rPr>
          <w:rFonts w:asciiTheme="majorBidi" w:hAnsiTheme="majorBidi" w:cstheme="majorBidi"/>
          <w:b/>
          <w:bCs/>
          <w:sz w:val="18"/>
          <w:szCs w:val="18"/>
          <w:rtl/>
        </w:rPr>
        <w:t>محمود فجال، دمشق</w:t>
      </w:r>
      <w:r>
        <w:rPr>
          <w:rFonts w:asciiTheme="majorBidi" w:hAnsiTheme="majorBidi" w:cstheme="majorBidi"/>
          <w:b/>
          <w:bCs/>
          <w:noProof/>
          <w:sz w:val="18"/>
          <w:szCs w:val="18"/>
          <w:rtl/>
        </w:rPr>
        <w:t xml:space="preserve"> ، (الإصباح في شرح الاقتراح) </w:t>
      </w:r>
      <w:r>
        <w:rPr>
          <w:rFonts w:asciiTheme="majorBidi" w:hAnsiTheme="majorBidi" w:cstheme="majorBidi"/>
          <w:b/>
          <w:bCs/>
          <w:sz w:val="18"/>
          <w:szCs w:val="18"/>
          <w:rtl/>
        </w:rPr>
        <w:t>،  دار القلم، 1989م.</w:t>
      </w:r>
    </w:p>
    <w:p w:rsidR="00AB09CA" w:rsidRDefault="00AB09CA" w:rsidP="00AB09CA">
      <w:pPr>
        <w:numPr>
          <w:ilvl w:val="0"/>
          <w:numId w:val="2"/>
        </w:numPr>
        <w:spacing w:after="120" w:line="240" w:lineRule="auto"/>
        <w:jc w:val="lowKashida"/>
        <w:rPr>
          <w:rFonts w:asciiTheme="majorBidi" w:eastAsia="SimSun" w:hAnsiTheme="majorBidi" w:cstheme="majorBidi"/>
          <w:b/>
          <w:bCs/>
          <w:sz w:val="18"/>
          <w:szCs w:val="18"/>
          <w:rtl/>
          <w:lang w:bidi="ar-EG"/>
        </w:rPr>
      </w:pPr>
      <w:r>
        <w:rPr>
          <w:rFonts w:asciiTheme="majorBidi" w:hAnsiTheme="majorBidi" w:cstheme="majorBidi"/>
          <w:b/>
          <w:bCs/>
          <w:sz w:val="18"/>
          <w:szCs w:val="18"/>
          <w:rtl/>
        </w:rPr>
        <w:t>ابن جني</w:t>
      </w:r>
      <w:r>
        <w:rPr>
          <w:rFonts w:asciiTheme="majorBidi" w:hAnsiTheme="majorBidi" w:cstheme="majorBidi"/>
          <w:b/>
          <w:bCs/>
          <w:noProof/>
          <w:sz w:val="18"/>
          <w:szCs w:val="18"/>
          <w:rtl/>
        </w:rPr>
        <w:t xml:space="preserve"> ، </w:t>
      </w:r>
      <w:r>
        <w:rPr>
          <w:rFonts w:asciiTheme="majorBidi" w:hAnsiTheme="majorBidi" w:cstheme="majorBidi"/>
          <w:b/>
          <w:bCs/>
          <w:sz w:val="18"/>
          <w:szCs w:val="18"/>
          <w:rtl/>
        </w:rPr>
        <w:t>أبو الفتح عثمان بن جني</w:t>
      </w:r>
      <w:r>
        <w:rPr>
          <w:rFonts w:asciiTheme="majorBidi" w:hAnsiTheme="majorBidi" w:cstheme="majorBidi"/>
          <w:b/>
          <w:bCs/>
          <w:noProof/>
          <w:sz w:val="18"/>
          <w:szCs w:val="18"/>
          <w:rtl/>
        </w:rPr>
        <w:t xml:space="preserve"> ، (الخصائص)</w:t>
      </w:r>
      <w:r>
        <w:rPr>
          <w:rFonts w:asciiTheme="majorBidi" w:hAnsiTheme="majorBidi" w:cstheme="majorBidi"/>
          <w:b/>
          <w:bCs/>
          <w:sz w:val="18"/>
          <w:szCs w:val="18"/>
          <w:rtl/>
        </w:rPr>
        <w:t>، تحقيق محمد علي النجار، دار الكتاب العربي، 1953م</w:t>
      </w:r>
      <w:r>
        <w:rPr>
          <w:rFonts w:asciiTheme="majorBidi" w:eastAsia="SimSun" w:hAnsiTheme="majorBidi" w:cstheme="majorBidi"/>
          <w:b/>
          <w:bCs/>
          <w:sz w:val="18"/>
          <w:szCs w:val="18"/>
          <w:rtl/>
          <w:lang w:bidi="ar-EG"/>
        </w:rPr>
        <w:t>.</w:t>
      </w:r>
    </w:p>
    <w:p w:rsidR="00AB09CA" w:rsidRDefault="00AB09CA" w:rsidP="00AB09CA">
      <w:pPr>
        <w:numPr>
          <w:ilvl w:val="0"/>
          <w:numId w:val="2"/>
        </w:numPr>
        <w:spacing w:after="120" w:line="240" w:lineRule="auto"/>
        <w:jc w:val="lowKashida"/>
        <w:rPr>
          <w:rFonts w:asciiTheme="majorBidi" w:hAnsiTheme="majorBidi" w:cstheme="majorBidi"/>
          <w:b/>
          <w:bCs/>
          <w:sz w:val="18"/>
          <w:szCs w:val="18"/>
          <w:rtl/>
        </w:rPr>
      </w:pPr>
      <w:r>
        <w:rPr>
          <w:rFonts w:asciiTheme="majorBidi" w:hAnsiTheme="majorBidi" w:cstheme="majorBidi"/>
          <w:b/>
          <w:bCs/>
          <w:sz w:val="18"/>
          <w:szCs w:val="18"/>
          <w:rtl/>
        </w:rPr>
        <w:t>الأنباري</w:t>
      </w:r>
      <w:r>
        <w:rPr>
          <w:rFonts w:asciiTheme="majorBidi" w:hAnsiTheme="majorBidi" w:cstheme="majorBidi"/>
          <w:b/>
          <w:bCs/>
          <w:noProof/>
          <w:sz w:val="18"/>
          <w:szCs w:val="18"/>
          <w:rtl/>
        </w:rPr>
        <w:t xml:space="preserve"> ، </w:t>
      </w:r>
      <w:r>
        <w:rPr>
          <w:rFonts w:asciiTheme="majorBidi" w:hAnsiTheme="majorBidi" w:cstheme="majorBidi"/>
          <w:b/>
          <w:bCs/>
          <w:sz w:val="18"/>
          <w:szCs w:val="18"/>
          <w:rtl/>
        </w:rPr>
        <w:t>أبي البركات الأنباري</w:t>
      </w:r>
      <w:r>
        <w:rPr>
          <w:rFonts w:asciiTheme="majorBidi" w:hAnsiTheme="majorBidi" w:cstheme="majorBidi"/>
          <w:b/>
          <w:bCs/>
          <w:noProof/>
          <w:sz w:val="18"/>
          <w:szCs w:val="18"/>
          <w:rtl/>
        </w:rPr>
        <w:t xml:space="preserve"> ،(الإغراب في جدول الإعراب) ، </w:t>
      </w:r>
      <w:r>
        <w:rPr>
          <w:rFonts w:asciiTheme="majorBidi" w:hAnsiTheme="majorBidi" w:cstheme="majorBidi"/>
          <w:b/>
          <w:bCs/>
          <w:sz w:val="18"/>
          <w:szCs w:val="18"/>
          <w:rtl/>
        </w:rPr>
        <w:t>، تحقيق سعيد الأفغاني ، مطبعة الجامعة السورية، 1957م.</w:t>
      </w:r>
    </w:p>
    <w:p w:rsidR="00AB09CA" w:rsidRDefault="00AB09CA" w:rsidP="00AB09CA">
      <w:pPr>
        <w:numPr>
          <w:ilvl w:val="0"/>
          <w:numId w:val="2"/>
        </w:numPr>
        <w:spacing w:after="120" w:line="240" w:lineRule="auto"/>
        <w:ind w:left="284" w:firstLine="283"/>
        <w:jc w:val="lowKashida"/>
        <w:rPr>
          <w:rFonts w:asciiTheme="majorBidi" w:hAnsiTheme="majorBidi" w:cstheme="majorBidi"/>
          <w:b/>
          <w:bCs/>
          <w:sz w:val="18"/>
          <w:szCs w:val="18"/>
        </w:rPr>
      </w:pPr>
      <w:r>
        <w:rPr>
          <w:rFonts w:asciiTheme="majorBidi" w:hAnsiTheme="majorBidi" w:cstheme="majorBidi"/>
          <w:b/>
          <w:bCs/>
          <w:sz w:val="18"/>
          <w:szCs w:val="18"/>
          <w:rtl/>
        </w:rPr>
        <w:t>سعيد الأفغاني</w:t>
      </w:r>
      <w:r>
        <w:rPr>
          <w:rFonts w:asciiTheme="majorBidi" w:hAnsiTheme="majorBidi" w:cstheme="majorBidi"/>
          <w:b/>
          <w:bCs/>
          <w:noProof/>
          <w:sz w:val="18"/>
          <w:szCs w:val="18"/>
          <w:rtl/>
        </w:rPr>
        <w:t xml:space="preserve"> ، (في أصول النحو) </w:t>
      </w:r>
      <w:r>
        <w:rPr>
          <w:rFonts w:asciiTheme="majorBidi" w:hAnsiTheme="majorBidi" w:cstheme="majorBidi"/>
          <w:b/>
          <w:bCs/>
          <w:sz w:val="18"/>
          <w:szCs w:val="18"/>
          <w:rtl/>
        </w:rPr>
        <w:t xml:space="preserve">،بيروت، المكتب الإسلامي، 1987م. </w:t>
      </w:r>
    </w:p>
    <w:p w:rsidR="00AB09CA" w:rsidRDefault="00AB09CA" w:rsidP="00AB09CA">
      <w:pPr>
        <w:numPr>
          <w:ilvl w:val="0"/>
          <w:numId w:val="2"/>
        </w:numPr>
        <w:spacing w:after="120" w:line="240" w:lineRule="auto"/>
        <w:jc w:val="lowKashida"/>
        <w:rPr>
          <w:rFonts w:asciiTheme="majorBidi" w:hAnsiTheme="majorBidi" w:cstheme="majorBidi"/>
          <w:b/>
          <w:bCs/>
          <w:sz w:val="18"/>
          <w:szCs w:val="18"/>
          <w:rtl/>
          <w:lang w:bidi="ar-EG"/>
        </w:rPr>
      </w:pPr>
      <w:r>
        <w:rPr>
          <w:rFonts w:asciiTheme="majorBidi" w:hAnsiTheme="majorBidi" w:cstheme="majorBidi"/>
          <w:b/>
          <w:bCs/>
          <w:sz w:val="18"/>
          <w:szCs w:val="18"/>
          <w:rtl/>
        </w:rPr>
        <w:t>سيبويه</w:t>
      </w:r>
      <w:r>
        <w:rPr>
          <w:rFonts w:asciiTheme="majorBidi" w:hAnsiTheme="majorBidi" w:cstheme="majorBidi"/>
          <w:b/>
          <w:bCs/>
          <w:noProof/>
          <w:sz w:val="18"/>
          <w:szCs w:val="18"/>
          <w:rtl/>
        </w:rPr>
        <w:t xml:space="preserve"> ،</w:t>
      </w:r>
      <w:r>
        <w:rPr>
          <w:rFonts w:asciiTheme="majorBidi" w:hAnsiTheme="majorBidi" w:cstheme="majorBidi"/>
          <w:b/>
          <w:bCs/>
          <w:sz w:val="18"/>
          <w:szCs w:val="18"/>
          <w:rtl/>
        </w:rPr>
        <w:t xml:space="preserve"> عمرو بن عثمان بن قنبر سيبويه</w:t>
      </w:r>
      <w:r>
        <w:rPr>
          <w:rFonts w:asciiTheme="majorBidi" w:hAnsiTheme="majorBidi" w:cstheme="majorBidi"/>
          <w:b/>
          <w:bCs/>
          <w:noProof/>
          <w:sz w:val="18"/>
          <w:szCs w:val="18"/>
          <w:rtl/>
        </w:rPr>
        <w:t xml:space="preserve"> ،  (كتاب سيبويه) ، </w:t>
      </w:r>
      <w:r>
        <w:rPr>
          <w:rFonts w:asciiTheme="majorBidi" w:hAnsiTheme="majorBidi" w:cstheme="majorBidi"/>
          <w:b/>
          <w:bCs/>
          <w:sz w:val="18"/>
          <w:szCs w:val="18"/>
          <w:rtl/>
        </w:rPr>
        <w:t>،  تحقيق عبد السلام هارون ، الهيئة المصرية العامة للكتاب، 1977م.</w:t>
      </w:r>
    </w:p>
    <w:p w:rsidR="00AB09CA" w:rsidRDefault="00AB09CA" w:rsidP="00AB09CA">
      <w:pPr>
        <w:numPr>
          <w:ilvl w:val="0"/>
          <w:numId w:val="2"/>
        </w:numPr>
        <w:spacing w:after="120" w:line="240" w:lineRule="auto"/>
        <w:jc w:val="lowKashida"/>
        <w:rPr>
          <w:rFonts w:asciiTheme="majorBidi" w:hAnsiTheme="majorBidi" w:cstheme="majorBidi"/>
          <w:b/>
          <w:bCs/>
          <w:sz w:val="18"/>
          <w:szCs w:val="18"/>
          <w:rtl/>
        </w:rPr>
      </w:pPr>
      <w:r>
        <w:rPr>
          <w:rFonts w:asciiTheme="majorBidi" w:hAnsiTheme="majorBidi" w:cstheme="majorBidi"/>
          <w:b/>
          <w:bCs/>
          <w:sz w:val="18"/>
          <w:szCs w:val="18"/>
          <w:rtl/>
        </w:rPr>
        <w:t>الأنباري</w:t>
      </w:r>
      <w:r>
        <w:rPr>
          <w:rFonts w:asciiTheme="majorBidi" w:hAnsiTheme="majorBidi" w:cstheme="majorBidi"/>
          <w:b/>
          <w:bCs/>
          <w:noProof/>
          <w:sz w:val="18"/>
          <w:szCs w:val="18"/>
          <w:rtl/>
        </w:rPr>
        <w:t xml:space="preserve"> ، </w:t>
      </w:r>
      <w:r>
        <w:rPr>
          <w:rFonts w:asciiTheme="majorBidi" w:hAnsiTheme="majorBidi" w:cstheme="majorBidi"/>
          <w:b/>
          <w:bCs/>
          <w:sz w:val="18"/>
          <w:szCs w:val="18"/>
          <w:rtl/>
        </w:rPr>
        <w:t>أبي البركات الأنباري</w:t>
      </w:r>
      <w:r>
        <w:rPr>
          <w:rFonts w:asciiTheme="majorBidi" w:hAnsiTheme="majorBidi" w:cstheme="majorBidi"/>
          <w:b/>
          <w:bCs/>
          <w:noProof/>
          <w:sz w:val="18"/>
          <w:szCs w:val="18"/>
          <w:rtl/>
        </w:rPr>
        <w:t xml:space="preserve"> ، (لمع الأدلة في أصول النحو) </w:t>
      </w:r>
      <w:r>
        <w:rPr>
          <w:rFonts w:asciiTheme="majorBidi" w:hAnsiTheme="majorBidi" w:cstheme="majorBidi"/>
          <w:b/>
          <w:bCs/>
          <w:sz w:val="18"/>
          <w:szCs w:val="18"/>
          <w:rtl/>
        </w:rPr>
        <w:t>، تحقيق سعيد الأفغاني، مطبعة الجامعة السورية،  1957م.</w:t>
      </w:r>
    </w:p>
    <w:p w:rsidR="00AB09CA" w:rsidRDefault="00AB09CA" w:rsidP="00AB09CA">
      <w:pPr>
        <w:numPr>
          <w:ilvl w:val="0"/>
          <w:numId w:val="2"/>
        </w:numPr>
        <w:spacing w:after="120" w:line="240" w:lineRule="auto"/>
        <w:ind w:left="284" w:firstLine="283"/>
        <w:jc w:val="lowKashida"/>
        <w:rPr>
          <w:rFonts w:asciiTheme="majorBidi" w:hAnsiTheme="majorBidi" w:cstheme="majorBidi"/>
          <w:b/>
          <w:bCs/>
          <w:sz w:val="18"/>
          <w:szCs w:val="18"/>
          <w:rtl/>
        </w:rPr>
      </w:pPr>
      <w:r>
        <w:rPr>
          <w:rFonts w:asciiTheme="majorBidi" w:hAnsiTheme="majorBidi" w:cstheme="majorBidi"/>
          <w:b/>
          <w:bCs/>
          <w:sz w:val="18"/>
          <w:szCs w:val="18"/>
          <w:rtl/>
        </w:rPr>
        <w:t>سعيد الأفغاني</w:t>
      </w:r>
      <w:r>
        <w:rPr>
          <w:rFonts w:asciiTheme="majorBidi" w:hAnsiTheme="majorBidi" w:cstheme="majorBidi"/>
          <w:b/>
          <w:bCs/>
          <w:noProof/>
          <w:sz w:val="18"/>
          <w:szCs w:val="18"/>
          <w:rtl/>
        </w:rPr>
        <w:t xml:space="preserve"> ، (من تاريخ النحو)، </w:t>
      </w:r>
      <w:r>
        <w:rPr>
          <w:rFonts w:asciiTheme="majorBidi" w:hAnsiTheme="majorBidi" w:cstheme="majorBidi"/>
          <w:b/>
          <w:bCs/>
          <w:sz w:val="18"/>
          <w:szCs w:val="18"/>
          <w:rtl/>
        </w:rPr>
        <w:t>، دار الفكر، 1978م.</w:t>
      </w:r>
    </w:p>
    <w:p w:rsidR="00AB09CA" w:rsidRDefault="00AB09CA" w:rsidP="00AB09CA">
      <w:pPr>
        <w:numPr>
          <w:ilvl w:val="0"/>
          <w:numId w:val="2"/>
        </w:numPr>
        <w:spacing w:after="120" w:line="240" w:lineRule="auto"/>
        <w:ind w:left="284" w:firstLine="283"/>
        <w:jc w:val="lowKashida"/>
        <w:rPr>
          <w:rFonts w:asciiTheme="majorBidi" w:hAnsiTheme="majorBidi" w:cstheme="majorBidi"/>
          <w:b/>
          <w:bCs/>
          <w:sz w:val="18"/>
          <w:szCs w:val="18"/>
        </w:rPr>
      </w:pPr>
      <w:r>
        <w:rPr>
          <w:rFonts w:asciiTheme="majorBidi" w:hAnsiTheme="majorBidi" w:cstheme="majorBidi"/>
          <w:b/>
          <w:bCs/>
          <w:sz w:val="18"/>
          <w:szCs w:val="18"/>
          <w:rtl/>
        </w:rPr>
        <w:t>مازن المبارك</w:t>
      </w:r>
      <w:r>
        <w:rPr>
          <w:rFonts w:asciiTheme="majorBidi" w:hAnsiTheme="majorBidi" w:cstheme="majorBidi"/>
          <w:b/>
          <w:bCs/>
          <w:noProof/>
          <w:sz w:val="18"/>
          <w:szCs w:val="18"/>
          <w:rtl/>
        </w:rPr>
        <w:t xml:space="preserve"> ، (النحو العربي  العلة النحوية نشأتها وتطورها) </w:t>
      </w:r>
      <w:r>
        <w:rPr>
          <w:rFonts w:asciiTheme="majorBidi" w:hAnsiTheme="majorBidi" w:cstheme="majorBidi"/>
          <w:b/>
          <w:bCs/>
          <w:sz w:val="18"/>
          <w:szCs w:val="18"/>
          <w:rtl/>
        </w:rPr>
        <w:t>، دار الفكر، 1981م.</w:t>
      </w:r>
    </w:p>
    <w:p w:rsidR="00AB09CA" w:rsidRDefault="00AB09CA" w:rsidP="00AB09CA">
      <w:pPr>
        <w:pStyle w:val="a4"/>
        <w:numPr>
          <w:ilvl w:val="0"/>
          <w:numId w:val="2"/>
        </w:numPr>
        <w:spacing w:after="120" w:line="240" w:lineRule="auto"/>
        <w:jc w:val="lowKashida"/>
        <w:rPr>
          <w:rFonts w:asciiTheme="majorBidi" w:hAnsiTheme="majorBidi" w:cstheme="majorBidi"/>
          <w:b/>
          <w:bCs/>
          <w:sz w:val="18"/>
          <w:szCs w:val="18"/>
        </w:rPr>
      </w:pPr>
      <w:r>
        <w:rPr>
          <w:rFonts w:asciiTheme="majorBidi" w:hAnsiTheme="majorBidi" w:cstheme="majorBidi"/>
          <w:b/>
          <w:bCs/>
          <w:sz w:val="18"/>
          <w:szCs w:val="18"/>
          <w:rtl/>
        </w:rPr>
        <w:t>محمد الطنطاوي</w:t>
      </w:r>
      <w:r>
        <w:rPr>
          <w:rFonts w:asciiTheme="majorBidi" w:hAnsiTheme="majorBidi" w:cstheme="majorBidi"/>
          <w:b/>
          <w:bCs/>
          <w:noProof/>
          <w:sz w:val="18"/>
          <w:szCs w:val="18"/>
          <w:rtl/>
        </w:rPr>
        <w:t xml:space="preserve"> ، (نشأة النحو  وتاريخ أشهر النحاة) ، </w:t>
      </w:r>
      <w:r>
        <w:rPr>
          <w:rFonts w:asciiTheme="majorBidi" w:hAnsiTheme="majorBidi" w:cstheme="majorBidi"/>
          <w:b/>
          <w:bCs/>
          <w:sz w:val="18"/>
          <w:szCs w:val="18"/>
          <w:rtl/>
        </w:rPr>
        <w:t>، القاهرة، مطبعة وادي الملوك، 1954م.</w:t>
      </w:r>
    </w:p>
    <w:p w:rsidR="0092009C" w:rsidRPr="0092009C" w:rsidRDefault="0092009C" w:rsidP="0092009C">
      <w:pPr>
        <w:spacing w:after="120" w:line="240" w:lineRule="auto"/>
        <w:ind w:left="284" w:firstLine="283"/>
        <w:jc w:val="lowKashida"/>
        <w:rPr>
          <w:rFonts w:asciiTheme="majorBidi" w:hAnsiTheme="majorBidi" w:cstheme="majorBidi"/>
          <w:b/>
          <w:bCs/>
          <w:sz w:val="18"/>
          <w:szCs w:val="18"/>
          <w:rtl/>
        </w:rPr>
      </w:pPr>
      <w:r w:rsidRPr="0092009C">
        <w:rPr>
          <w:rFonts w:asciiTheme="majorBidi" w:hAnsiTheme="majorBidi" w:cstheme="majorBidi"/>
          <w:b/>
          <w:bCs/>
          <w:sz w:val="18"/>
          <w:szCs w:val="18"/>
          <w:rtl/>
        </w:rPr>
        <w:t>.</w:t>
      </w:r>
    </w:p>
    <w:p w:rsidR="0092009C" w:rsidRDefault="0092009C" w:rsidP="0092009C">
      <w:pPr>
        <w:rPr>
          <w:rtl/>
        </w:rPr>
        <w:sectPr w:rsidR="0092009C" w:rsidSect="0092009C">
          <w:type w:val="continuous"/>
          <w:pgSz w:w="11906" w:h="16838"/>
          <w:pgMar w:top="1440" w:right="1440" w:bottom="1440" w:left="1440" w:header="720" w:footer="720" w:gutter="0"/>
          <w:cols w:num="2" w:space="720"/>
          <w:bidi/>
          <w:rtlGutter/>
          <w:docGrid w:linePitch="360"/>
        </w:sectPr>
      </w:pPr>
    </w:p>
    <w:p w:rsidR="0092009C" w:rsidRPr="0092009C" w:rsidRDefault="0092009C" w:rsidP="0092009C"/>
    <w:sectPr w:rsidR="0092009C" w:rsidRPr="0092009C" w:rsidSect="0092009C">
      <w:type w:val="continuous"/>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L-Mateen">
    <w:altName w:val="Times New Roman"/>
    <w:charset w:val="B2"/>
    <w:family w:val="auto"/>
    <w:pitch w:val="variable"/>
    <w:sig w:usb0="00002000"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GA Rasheeq Bold">
    <w:altName w:val="Times New Roman"/>
    <w:charset w:val="B2"/>
    <w:family w:val="auto"/>
    <w:pitch w:val="variable"/>
    <w:sig w:usb0="00002000"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EF0165"/>
    <w:multiLevelType w:val="hybridMultilevel"/>
    <w:tmpl w:val="E4BA73E2"/>
    <w:lvl w:ilvl="0" w:tplc="070830EC">
      <w:start w:val="1"/>
      <w:numFmt w:val="decimal"/>
      <w:lvlText w:val="%1."/>
      <w:lvlJc w:val="left"/>
      <w:pPr>
        <w:tabs>
          <w:tab w:val="num" w:pos="567"/>
        </w:tabs>
        <w:ind w:left="567" w:hanging="113"/>
      </w:pPr>
      <w:rPr>
        <w:rFonts w:cs="AL-Mateen" w:hint="default"/>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009C"/>
    <w:rsid w:val="0026731D"/>
    <w:rsid w:val="007E639D"/>
    <w:rsid w:val="008B522F"/>
    <w:rsid w:val="0092009C"/>
    <w:rsid w:val="00934FCB"/>
    <w:rsid w:val="009E6608"/>
    <w:rsid w:val="00AB09CA"/>
    <w:rsid w:val="00DF5B51"/>
    <w:rsid w:val="00E511C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22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2009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AB09CA"/>
    <w:pPr>
      <w:ind w:left="720"/>
      <w:contextualSpacing/>
    </w:pPr>
  </w:style>
</w:styles>
</file>

<file path=word/webSettings.xml><?xml version="1.0" encoding="utf-8"?>
<w:webSettings xmlns:r="http://schemas.openxmlformats.org/officeDocument/2006/relationships" xmlns:w="http://schemas.openxmlformats.org/wordprocessingml/2006/main">
  <w:divs>
    <w:div w:id="109326655">
      <w:bodyDiv w:val="1"/>
      <w:marLeft w:val="0"/>
      <w:marRight w:val="0"/>
      <w:marTop w:val="0"/>
      <w:marBottom w:val="0"/>
      <w:divBdr>
        <w:top w:val="none" w:sz="0" w:space="0" w:color="auto"/>
        <w:left w:val="none" w:sz="0" w:space="0" w:color="auto"/>
        <w:bottom w:val="none" w:sz="0" w:space="0" w:color="auto"/>
        <w:right w:val="none" w:sz="0" w:space="0" w:color="auto"/>
      </w:divBdr>
    </w:div>
    <w:div w:id="325401441">
      <w:bodyDiv w:val="1"/>
      <w:marLeft w:val="0"/>
      <w:marRight w:val="0"/>
      <w:marTop w:val="0"/>
      <w:marBottom w:val="0"/>
      <w:divBdr>
        <w:top w:val="none" w:sz="0" w:space="0" w:color="auto"/>
        <w:left w:val="none" w:sz="0" w:space="0" w:color="auto"/>
        <w:bottom w:val="none" w:sz="0" w:space="0" w:color="auto"/>
        <w:right w:val="none" w:sz="0" w:space="0" w:color="auto"/>
      </w:divBdr>
    </w:div>
    <w:div w:id="182828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1196</Words>
  <Characters>6823</Characters>
  <Application>Microsoft Office Word</Application>
  <DocSecurity>0</DocSecurity>
  <Lines>56</Lines>
  <Paragraphs>16</Paragraphs>
  <ScaleCrop>false</ScaleCrop>
  <Company/>
  <LinksUpToDate>false</LinksUpToDate>
  <CharactersWithSpaces>8003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miso</dc:creator>
  <cp:lastModifiedBy>hala</cp:lastModifiedBy>
  <cp:revision>7</cp:revision>
  <dcterms:created xsi:type="dcterms:W3CDTF">2013-06-13T11:19:00Z</dcterms:created>
  <dcterms:modified xsi:type="dcterms:W3CDTF">2013-06-16T13:02:00Z</dcterms:modified>
</cp:coreProperties>
</file>