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F" w:rsidRPr="00BD1E3A" w:rsidRDefault="00BD1E3A" w:rsidP="006E46D3">
      <w:pPr>
        <w:jc w:val="center"/>
        <w:rPr>
          <w:sz w:val="48"/>
          <w:szCs w:val="48"/>
          <w:rtl/>
        </w:rPr>
      </w:pPr>
      <w:r w:rsidRPr="00BD1E3A">
        <w:rPr>
          <w:rFonts w:ascii="Calibri" w:eastAsia="Calibri" w:hAnsi="Calibri" w:cs="AGA Rasheeq Bold"/>
          <w:sz w:val="48"/>
          <w:szCs w:val="48"/>
          <w:rtl/>
        </w:rPr>
        <w:t>رواية الأبيات بأوجه مختلفة</w:t>
      </w:r>
    </w:p>
    <w:p w:rsidR="006E46D3" w:rsidRDefault="004D77B2" w:rsidP="006E46D3">
      <w:pPr>
        <w:jc w:val="center"/>
        <w:rPr>
          <w:rFonts w:eastAsia="Times New Roman"/>
          <w:i/>
          <w:iCs/>
        </w:rPr>
      </w:pPr>
      <w:r>
        <w:rPr>
          <w:rFonts w:hint="cs"/>
          <w:rtl/>
        </w:rPr>
        <w:t>بحث فى النحو</w:t>
      </w:r>
      <w:r>
        <w:br/>
      </w:r>
      <w:r w:rsidR="006E46D3">
        <w:rPr>
          <w:rFonts w:hint="cs"/>
          <w:i/>
          <w:iCs/>
          <w:rtl/>
        </w:rPr>
        <w:t xml:space="preserve">إعداد/ </w:t>
      </w:r>
      <w:r w:rsidR="006E46D3">
        <w:rPr>
          <w:rFonts w:hint="cs"/>
          <w:i/>
          <w:iCs/>
          <w:rtl/>
          <w:lang w:bidi="ar-EG"/>
        </w:rPr>
        <w:t>أحمد عبد الحميد مهدي</w:t>
      </w:r>
    </w:p>
    <w:p w:rsidR="006E46D3" w:rsidRDefault="006E46D3" w:rsidP="006E46D3">
      <w:pPr>
        <w:bidi w:val="0"/>
        <w:jc w:val="center"/>
        <w:rPr>
          <w:rFonts w:eastAsia="SimSun"/>
          <w:i/>
          <w:iCs/>
          <w:sz w:val="20"/>
          <w:szCs w:val="20"/>
        </w:rPr>
      </w:pPr>
      <w:r>
        <w:rPr>
          <w:rFonts w:hint="cs"/>
          <w:i/>
          <w:iCs/>
          <w:rtl/>
        </w:rPr>
        <w:t>قسم اللغة العربية</w:t>
      </w:r>
    </w:p>
    <w:p w:rsidR="006E46D3" w:rsidRDefault="006E46D3" w:rsidP="006E46D3">
      <w:pPr>
        <w:bidi w:val="0"/>
        <w:jc w:val="center"/>
        <w:rPr>
          <w:rFonts w:hint="cs"/>
          <w:i/>
          <w:iCs/>
          <w:rtl/>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6E46D3" w:rsidRDefault="006E46D3" w:rsidP="006E46D3">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6E46D3" w:rsidRDefault="006E46D3" w:rsidP="006E46D3">
      <w:pPr>
        <w:bidi w:val="0"/>
        <w:jc w:val="center"/>
        <w:rPr>
          <w:i/>
          <w:iCs/>
        </w:rPr>
      </w:pPr>
      <w:r>
        <w:rPr>
          <w:i/>
          <w:iCs/>
          <w:lang w:bidi="ar-EG"/>
        </w:rPr>
        <w:t>ahmed.mahdey@mediu.ws</w:t>
      </w:r>
    </w:p>
    <w:p w:rsidR="00BD1E3A" w:rsidRDefault="00BD1E3A" w:rsidP="006E46D3">
      <w:pPr>
        <w:pStyle w:val="a3"/>
        <w:rPr>
          <w:rFonts w:asciiTheme="majorBidi" w:hAnsiTheme="majorBidi" w:cstheme="majorBidi"/>
          <w:b/>
          <w:bCs/>
          <w:sz w:val="18"/>
          <w:szCs w:val="18"/>
          <w:rtl/>
        </w:rPr>
        <w:sectPr w:rsidR="00BD1E3A" w:rsidSect="007E639D">
          <w:pgSz w:w="11906" w:h="16838"/>
          <w:pgMar w:top="1440" w:right="1440" w:bottom="1440" w:left="1440" w:header="720" w:footer="720" w:gutter="0"/>
          <w:cols w:space="720"/>
          <w:bidi/>
          <w:rtlGutter/>
          <w:docGrid w:linePitch="360"/>
        </w:sectPr>
      </w:pPr>
    </w:p>
    <w:p w:rsidR="00BD1E3A" w:rsidRPr="00BD1E3A" w:rsidRDefault="00BD1E3A" w:rsidP="000F34AC">
      <w:pPr>
        <w:pStyle w:val="a3"/>
        <w:jc w:val="right"/>
        <w:rPr>
          <w:rFonts w:asciiTheme="majorBidi" w:hAnsiTheme="majorBidi" w:cstheme="majorBidi"/>
          <w:b/>
          <w:bCs/>
          <w:sz w:val="18"/>
          <w:szCs w:val="18"/>
          <w:rtl/>
        </w:rPr>
      </w:pPr>
      <w:r w:rsidRPr="00BD1E3A">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رواية الأبيات بأوجه مختلفة</w:t>
      </w:r>
      <w:r w:rsidRPr="00BD1E3A">
        <w:rPr>
          <w:rFonts w:asciiTheme="majorBidi" w:hAnsiTheme="majorBidi" w:cstheme="majorBidi"/>
          <w:b/>
          <w:bCs/>
          <w:sz w:val="18"/>
          <w:szCs w:val="18"/>
        </w:rPr>
        <w:br/>
      </w:r>
      <w:r w:rsidRPr="00BD1E3A">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الروايات</w:t>
      </w:r>
      <w:r w:rsidRPr="00BD1E3A">
        <w:rPr>
          <w:rFonts w:asciiTheme="majorBidi" w:hAnsiTheme="majorBidi" w:cstheme="majorBidi"/>
          <w:b/>
          <w:bCs/>
          <w:sz w:val="18"/>
          <w:szCs w:val="18"/>
          <w:rtl/>
        </w:rPr>
        <w:t xml:space="preserve">، </w:t>
      </w:r>
      <w:r w:rsidR="000F34AC">
        <w:rPr>
          <w:rFonts w:asciiTheme="majorBidi" w:hAnsiTheme="majorBidi" w:cstheme="majorBidi" w:hint="cs"/>
          <w:b/>
          <w:bCs/>
          <w:sz w:val="18"/>
          <w:szCs w:val="18"/>
          <w:rtl/>
        </w:rPr>
        <w:t>الظواهر</w:t>
      </w:r>
      <w:r w:rsidRPr="00BD1E3A">
        <w:rPr>
          <w:rFonts w:asciiTheme="majorBidi" w:hAnsiTheme="majorBidi" w:cstheme="majorBidi"/>
          <w:b/>
          <w:bCs/>
          <w:sz w:val="18"/>
          <w:szCs w:val="18"/>
          <w:rtl/>
        </w:rPr>
        <w:t xml:space="preserve"> ، </w:t>
      </w:r>
      <w:r w:rsidR="000F34AC">
        <w:rPr>
          <w:rFonts w:asciiTheme="majorBidi" w:hAnsiTheme="majorBidi" w:cstheme="majorBidi" w:hint="cs"/>
          <w:b/>
          <w:bCs/>
          <w:sz w:val="18"/>
          <w:szCs w:val="18"/>
          <w:rtl/>
        </w:rPr>
        <w:t>النحوية</w:t>
      </w:r>
      <w:r w:rsidRPr="00BD1E3A">
        <w:rPr>
          <w:rFonts w:asciiTheme="majorBidi" w:hAnsiTheme="majorBidi" w:cstheme="majorBidi"/>
          <w:b/>
          <w:bCs/>
          <w:sz w:val="18"/>
          <w:szCs w:val="18"/>
          <w:rtl/>
        </w:rPr>
        <w:t xml:space="preserve"> </w:t>
      </w:r>
    </w:p>
    <w:p w:rsidR="00BD1E3A" w:rsidRPr="00BD1E3A" w:rsidRDefault="00BD1E3A" w:rsidP="00BD1E3A">
      <w:pPr>
        <w:pStyle w:val="a3"/>
        <w:jc w:val="center"/>
        <w:rPr>
          <w:rFonts w:asciiTheme="majorBidi" w:hAnsiTheme="majorBidi" w:cstheme="majorBidi"/>
          <w:b/>
          <w:bCs/>
          <w:sz w:val="18"/>
          <w:szCs w:val="18"/>
          <w:lang w:bidi="ar-EG"/>
        </w:rPr>
      </w:pPr>
      <w:r w:rsidRPr="00BD1E3A">
        <w:rPr>
          <w:rFonts w:asciiTheme="majorBidi" w:hAnsiTheme="majorBidi" w:cstheme="majorBidi"/>
          <w:b/>
          <w:bCs/>
          <w:sz w:val="18"/>
          <w:szCs w:val="18"/>
          <w:rtl/>
        </w:rPr>
        <w:t>المقدمة</w:t>
      </w:r>
      <w:r w:rsidRPr="00BD1E3A">
        <w:rPr>
          <w:rFonts w:asciiTheme="majorBidi" w:hAnsiTheme="majorBidi" w:cstheme="majorBidi"/>
          <w:b/>
          <w:bCs/>
          <w:sz w:val="18"/>
          <w:szCs w:val="18"/>
          <w:lang w:bidi="ar-EG"/>
        </w:rPr>
        <w:t>.I</w:t>
      </w:r>
    </w:p>
    <w:p w:rsidR="00BD1E3A" w:rsidRPr="00BD1E3A" w:rsidRDefault="00BD1E3A" w:rsidP="00BD1E3A">
      <w:pPr>
        <w:pStyle w:val="a3"/>
        <w:jc w:val="right"/>
        <w:rPr>
          <w:rFonts w:asciiTheme="majorBidi" w:hAnsiTheme="majorBidi" w:cstheme="majorBidi"/>
          <w:b/>
          <w:bCs/>
          <w:sz w:val="18"/>
          <w:szCs w:val="18"/>
          <w:rtl/>
        </w:rPr>
      </w:pPr>
      <w:r w:rsidRPr="00BD1E3A">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rPr>
        <w:t>رواية الأبيات بأوجه مختلفة</w:t>
      </w:r>
    </w:p>
    <w:p w:rsidR="00BD1E3A" w:rsidRPr="00BD1E3A" w:rsidRDefault="00BD1E3A" w:rsidP="004D77B2">
      <w:pPr>
        <w:pStyle w:val="a3"/>
        <w:jc w:val="center"/>
        <w:rPr>
          <w:rFonts w:asciiTheme="majorBidi" w:hAnsiTheme="majorBidi" w:cstheme="majorBidi"/>
          <w:b/>
          <w:bCs/>
          <w:sz w:val="18"/>
          <w:szCs w:val="18"/>
        </w:rPr>
      </w:pPr>
      <w:r w:rsidRPr="00BD1E3A">
        <w:rPr>
          <w:rFonts w:asciiTheme="majorBidi" w:hAnsiTheme="majorBidi" w:cstheme="majorBidi"/>
          <w:b/>
          <w:bCs/>
          <w:sz w:val="18"/>
          <w:szCs w:val="18"/>
        </w:rPr>
        <w:br/>
      </w:r>
      <w:r w:rsidRPr="00BD1E3A">
        <w:rPr>
          <w:rFonts w:asciiTheme="majorBidi" w:hAnsiTheme="majorBidi" w:cstheme="majorBidi"/>
          <w:b/>
          <w:bCs/>
          <w:sz w:val="18"/>
          <w:szCs w:val="18"/>
          <w:rtl/>
        </w:rPr>
        <w:t>.</w:t>
      </w:r>
      <w:r w:rsidR="004D77B2">
        <w:rPr>
          <w:rFonts w:asciiTheme="majorBidi" w:hAnsiTheme="majorBidi" w:cstheme="majorBidi" w:hint="cs"/>
          <w:b/>
          <w:bCs/>
          <w:sz w:val="18"/>
          <w:szCs w:val="18"/>
          <w:rtl/>
          <w:lang w:bidi="ar-EG"/>
        </w:rPr>
        <w:t>موضوع</w:t>
      </w:r>
      <w:r w:rsidRPr="00BD1E3A">
        <w:rPr>
          <w:rFonts w:asciiTheme="majorBidi" w:hAnsiTheme="majorBidi" w:cstheme="majorBidi"/>
          <w:b/>
          <w:bCs/>
          <w:sz w:val="18"/>
          <w:szCs w:val="18"/>
          <w:rtl/>
        </w:rPr>
        <w:t xml:space="preserve"> المقال</w:t>
      </w:r>
      <w:r w:rsidRPr="00BD1E3A">
        <w:rPr>
          <w:rFonts w:asciiTheme="majorBidi" w:hAnsiTheme="majorBidi" w:cstheme="majorBidi"/>
          <w:b/>
          <w:bCs/>
          <w:sz w:val="18"/>
          <w:szCs w:val="18"/>
        </w:rPr>
        <w:t>II</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tl/>
        </w:rPr>
      </w:pPr>
      <w:r w:rsidRPr="00BD1E3A">
        <w:rPr>
          <w:rFonts w:asciiTheme="majorBidi" w:hAnsiTheme="majorBidi" w:cstheme="majorBidi"/>
          <w:b/>
          <w:bCs/>
          <w:sz w:val="18"/>
          <w:szCs w:val="18"/>
          <w:rtl/>
        </w:rPr>
        <w:t>إن تعدُّد الروايات في البيت الواحد من الظواهر الشائعة في كتب النحو، وهو أثر من آثار الرواية الشفهية، فقد يكون للبيت الواحد روايتان فأكثر، وربما لا يكون لهذا الاختلاف أثرٌ في إثبات القاعدة النحوية أو نفيها، كما في قول الشاعر:</w:t>
      </w:r>
    </w:p>
    <w:tbl>
      <w:tblPr>
        <w:bidiVisual/>
        <w:tblW w:w="0" w:type="auto"/>
        <w:jc w:val="center"/>
        <w:tblLook w:val="01E0"/>
      </w:tblPr>
      <w:tblGrid>
        <w:gridCol w:w="1917"/>
        <w:gridCol w:w="537"/>
        <w:gridCol w:w="1915"/>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tl/>
              </w:rPr>
            </w:pPr>
            <w:r w:rsidRPr="00BD1E3A">
              <w:rPr>
                <w:rFonts w:asciiTheme="majorBidi" w:eastAsia="Calibri" w:hAnsiTheme="majorBidi" w:cstheme="majorBidi"/>
                <w:b/>
                <w:bCs/>
                <w:sz w:val="18"/>
                <w:szCs w:val="18"/>
                <w:rtl/>
                <w:lang w:eastAsia="en-MY"/>
              </w:rPr>
              <w:t>ألا عِمْ صَبَاحًا أيها الطلل البالي</w:t>
            </w:r>
            <w:r w:rsidRPr="00BD1E3A">
              <w:rPr>
                <w:rFonts w:asciiTheme="majorBidi" w:eastAsia="Calibri" w:hAnsiTheme="majorBidi" w:cstheme="majorBidi"/>
                <w:b/>
                <w:bCs/>
                <w:sz w:val="18"/>
                <w:szCs w:val="18"/>
                <w:rtl/>
                <w:lang w:eastAsia="en-MY"/>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eastAsia="Calibri" w:hAnsiTheme="majorBidi" w:cstheme="majorBidi"/>
                <w:b/>
                <w:bCs/>
                <w:sz w:val="18"/>
                <w:szCs w:val="18"/>
                <w:lang w:eastAsia="en-MY"/>
              </w:rPr>
            </w:pPr>
            <w:r w:rsidRPr="00BD1E3A">
              <w:rPr>
                <w:rFonts w:asciiTheme="majorBidi" w:eastAsia="Calibri" w:hAnsiTheme="majorBidi" w:cstheme="majorBidi"/>
                <w:b/>
                <w:bCs/>
                <w:sz w:val="18"/>
                <w:szCs w:val="18"/>
                <w:rtl/>
                <w:lang w:eastAsia="en-MY"/>
              </w:rPr>
              <w:t>وهل يعي من كان في العصر الخالي</w:t>
            </w:r>
            <w:r w:rsidRPr="00BD1E3A">
              <w:rPr>
                <w:rFonts w:asciiTheme="majorBidi" w:eastAsia="Calibri" w:hAnsiTheme="majorBidi" w:cstheme="majorBidi"/>
                <w:b/>
                <w:bCs/>
                <w:sz w:val="18"/>
                <w:szCs w:val="18"/>
                <w:rtl/>
                <w:lang w:eastAsia="en-MY"/>
              </w:rPr>
              <w:br/>
            </w:r>
          </w:p>
        </w:tc>
      </w:tr>
    </w:tbl>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tl/>
        </w:rPr>
      </w:pPr>
      <w:r w:rsidRPr="00BD1E3A">
        <w:rPr>
          <w:rFonts w:asciiTheme="majorBidi" w:hAnsiTheme="majorBidi" w:cstheme="majorBidi"/>
          <w:b/>
          <w:bCs/>
          <w:sz w:val="18"/>
          <w:szCs w:val="18"/>
          <w:rtl/>
        </w:rPr>
        <w:t>فقد استشهد النحاة بهذا البيت على أن "مَنْ" اسم موصول استُعمل لغير العاقل، وهو الطلل، وفي البيت رواية أخرى وهي: "وهل ينعمن"، ولا أثر لهذا الاختلاف على الشاهد، فالشاهد ما زال كما هو. ونظير ذلك قول الشاعر:</w:t>
      </w:r>
    </w:p>
    <w:tbl>
      <w:tblPr>
        <w:bidiVisual/>
        <w:tblW w:w="0" w:type="auto"/>
        <w:jc w:val="center"/>
        <w:tblLook w:val="01E0"/>
      </w:tblPr>
      <w:tblGrid>
        <w:gridCol w:w="1898"/>
        <w:gridCol w:w="537"/>
        <w:gridCol w:w="1934"/>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eastAsia="Calibri" w:hAnsiTheme="majorBidi" w:cstheme="majorBidi"/>
                <w:b/>
                <w:bCs/>
                <w:sz w:val="18"/>
                <w:szCs w:val="18"/>
                <w:rtl/>
                <w:lang w:eastAsia="en-MY"/>
              </w:rPr>
            </w:pPr>
            <w:r w:rsidRPr="00BD1E3A">
              <w:rPr>
                <w:rFonts w:asciiTheme="majorBidi" w:eastAsia="Calibri" w:hAnsiTheme="majorBidi" w:cstheme="majorBidi"/>
                <w:b/>
                <w:bCs/>
                <w:sz w:val="18"/>
                <w:szCs w:val="18"/>
                <w:rtl/>
                <w:lang w:eastAsia="en-MY"/>
              </w:rPr>
              <w:t>عدس ما لعباد عليك إمارة</w:t>
            </w:r>
            <w:r w:rsidRPr="00BD1E3A">
              <w:rPr>
                <w:rFonts w:asciiTheme="majorBidi" w:eastAsia="Calibri" w:hAnsiTheme="majorBidi" w:cstheme="majorBidi"/>
                <w:b/>
                <w:bCs/>
                <w:sz w:val="18"/>
                <w:szCs w:val="18"/>
                <w:rtl/>
                <w:lang w:eastAsia="en-MY"/>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eastAsia="Calibri" w:hAnsiTheme="majorBidi" w:cstheme="majorBidi"/>
                <w:b/>
                <w:bCs/>
                <w:sz w:val="18"/>
                <w:szCs w:val="18"/>
                <w:lang w:eastAsia="en-MY"/>
              </w:rPr>
            </w:pPr>
            <w:r w:rsidRPr="00BD1E3A">
              <w:rPr>
                <w:rFonts w:asciiTheme="majorBidi" w:eastAsia="Calibri" w:hAnsiTheme="majorBidi" w:cstheme="majorBidi"/>
                <w:b/>
                <w:bCs/>
                <w:sz w:val="18"/>
                <w:szCs w:val="18"/>
                <w:rtl/>
                <w:lang w:eastAsia="en-MY"/>
              </w:rPr>
              <w:t>نجوت وهذا تحملين طليقُ</w:t>
            </w:r>
            <w:r w:rsidRPr="00BD1E3A">
              <w:rPr>
                <w:rFonts w:asciiTheme="majorBidi" w:eastAsia="Calibri" w:hAnsiTheme="majorBidi" w:cstheme="majorBidi"/>
                <w:b/>
                <w:bCs/>
                <w:sz w:val="18"/>
                <w:szCs w:val="18"/>
                <w:rtl/>
                <w:lang w:eastAsia="en-MY"/>
              </w:rPr>
              <w:br/>
            </w:r>
          </w:p>
        </w:tc>
      </w:tr>
    </w:tbl>
    <w:p w:rsidR="00BD1E3A" w:rsidRPr="00BD1E3A" w:rsidRDefault="00BD1E3A" w:rsidP="00BD1E3A">
      <w:pPr>
        <w:pStyle w:val="a3"/>
        <w:bidi/>
        <w:spacing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فقد استشهد بعض النحاة بهذا البيت على أن اسم الإشارة هذا يُستعمل اسمًا موصولًا -كما سبق- ورُوي أول عجز هذا البيت بلفظه: نجوت، كما روي بلفظ: أمنت، ولا أثرَ لهذا الاختلاف بين الروايتين في موضع الشاهد الذي من أجله سِيقَ هذا البيت في كُتب النحاة.</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 xml:space="preserve">وقد يكون الاختلاف بين روايتي البيت مؤثرًا في إثبات القاعدة، أو في تأييد مذهب نحوي وردِّ مذهب آخر، كما سيجيء بيانه. </w:t>
      </w:r>
    </w:p>
    <w:p w:rsidR="00BD1E3A" w:rsidRPr="00BD1E3A" w:rsidRDefault="00BD1E3A" w:rsidP="00BD1E3A">
      <w:pPr>
        <w:pStyle w:val="a3"/>
        <w:bidi/>
        <w:spacing w:before="0" w:beforeAutospacing="0" w:after="120" w:afterAutospacing="0"/>
        <w:jc w:val="lowKashida"/>
        <w:rPr>
          <w:rFonts w:asciiTheme="majorBidi" w:hAnsiTheme="majorBidi" w:cstheme="majorBidi"/>
          <w:b/>
          <w:bCs/>
          <w:spacing w:val="-2"/>
          <w:sz w:val="18"/>
          <w:szCs w:val="18"/>
          <w:rtl/>
        </w:rPr>
      </w:pPr>
      <w:r w:rsidRPr="00BD1E3A">
        <w:rPr>
          <w:rFonts w:asciiTheme="majorBidi" w:hAnsiTheme="majorBidi" w:cstheme="majorBidi"/>
          <w:b/>
          <w:bCs/>
          <w:spacing w:val="-2"/>
          <w:sz w:val="18"/>
          <w:szCs w:val="18"/>
          <w:rtl/>
        </w:rPr>
        <w:t>ويعنينا الآن أن نقف على أسباب التعدد في رواية الأبيات؛ إذ ذكر السيوطي أن لهذا التغيير سببين -عندما سُئل عن ذلك قديمًا- فأجاب: "باحتمال أن يكون الشاعر أنشد مرة هكذا، ومرة هكذا"، ثم رأى السيوطي ابن هشام ذكر في كتابه المسمى (تخليص الشواهد)، الذي شرح فيه شواهد شرح (الألفية) أن عَجُزَ قوله:</w:t>
      </w:r>
    </w:p>
    <w:tbl>
      <w:tblPr>
        <w:bidiVisual/>
        <w:tblW w:w="0" w:type="auto"/>
        <w:jc w:val="center"/>
        <w:tblLook w:val="01E0"/>
      </w:tblPr>
      <w:tblGrid>
        <w:gridCol w:w="1908"/>
        <w:gridCol w:w="539"/>
        <w:gridCol w:w="1922"/>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tl/>
              </w:rPr>
            </w:pPr>
            <w:r w:rsidRPr="00BD1E3A">
              <w:rPr>
                <w:rFonts w:asciiTheme="majorBidi" w:eastAsia="Calibri" w:hAnsiTheme="majorBidi" w:cstheme="majorBidi"/>
                <w:b/>
                <w:bCs/>
                <w:sz w:val="18"/>
                <w:szCs w:val="18"/>
                <w:rtl/>
                <w:lang w:eastAsia="en-MY"/>
              </w:rPr>
              <w:t>فلا مزنة وَدَقَتْ ودقها</w:t>
            </w:r>
            <w:r w:rsidRPr="00BD1E3A">
              <w:rPr>
                <w:rFonts w:asciiTheme="majorBidi" w:eastAsia="Calibri" w:hAnsiTheme="majorBidi" w:cstheme="majorBidi"/>
                <w:b/>
                <w:bCs/>
                <w:sz w:val="18"/>
                <w:szCs w:val="18"/>
                <w:rtl/>
                <w:lang w:eastAsia="en-MY"/>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eastAsia="Calibri" w:hAnsiTheme="majorBidi" w:cstheme="majorBidi"/>
                <w:b/>
                <w:bCs/>
                <w:sz w:val="18"/>
                <w:szCs w:val="18"/>
                <w:lang w:eastAsia="en-MY"/>
              </w:rPr>
            </w:pPr>
            <w:r w:rsidRPr="00BD1E3A">
              <w:rPr>
                <w:rFonts w:asciiTheme="majorBidi" w:eastAsia="Calibri" w:hAnsiTheme="majorBidi" w:cstheme="majorBidi"/>
                <w:b/>
                <w:bCs/>
                <w:sz w:val="18"/>
                <w:szCs w:val="18"/>
                <w:rtl/>
                <w:lang w:eastAsia="en-MY"/>
              </w:rPr>
              <w:t>ولا أرض أَبْقَلَ إبقالها</w:t>
            </w:r>
            <w:r w:rsidRPr="00BD1E3A">
              <w:rPr>
                <w:rFonts w:asciiTheme="majorBidi" w:eastAsia="Calibri" w:hAnsiTheme="majorBidi" w:cstheme="majorBidi"/>
                <w:b/>
                <w:bCs/>
                <w:sz w:val="18"/>
                <w:szCs w:val="18"/>
                <w:rtl/>
                <w:lang w:eastAsia="en-MY"/>
              </w:rPr>
              <w:br/>
            </w:r>
          </w:p>
        </w:tc>
      </w:tr>
    </w:tbl>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 xml:space="preserve">روي بالتذكير يعني: بتذكير الفعل أبقل، ورُوي أيضًا بالتأنيث مع نقل حركة همزة إبقالها إلى تاء التأنيث وإسقاط الهمزة أي: برواية: ولا أرض أبقلت إبقالها. وذكر ابن هشام أنه إن صح أن القائل بالتأنيث هو القائل بالتذكير؛ صح الاستشهاد به على الجواز من غير الضرورة، وإلا فقد </w:t>
      </w:r>
      <w:r w:rsidRPr="00BD1E3A">
        <w:rPr>
          <w:rFonts w:asciiTheme="majorBidi" w:hAnsiTheme="majorBidi" w:cstheme="majorBidi"/>
          <w:b/>
          <w:bCs/>
          <w:sz w:val="18"/>
          <w:szCs w:val="18"/>
          <w:rtl/>
        </w:rPr>
        <w:lastRenderedPageBreak/>
        <w:t>كانت العرب يُنشد بعضُهم شعرَ بعضٍ، وكلٌّ يتكلم على مقتضى سجيته التي فُطر عليها، ومن هنا تكثَّرت الرواية في بعض الأبيات. انتهى.</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 xml:space="preserve">وخلاصة كلام السيوطي: </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 xml:space="preserve">أن هناك سببين لتعدُّد الروايات: </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 xml:space="preserve">أحدهما: أن يكون الشاعر المنسوب إليه هذا البيت أو ذاك، هو الذي غيَّر في شعره وبدَّل بأن ذكر البيت أولًا برواية، وذكره مرةً أخرى برواية ثانية، ولا يضيره ذلك؛ لأن الشاعر بفصاحته يتلاعب بمقولاته، فينشدها كيف أراد، وهذا هو السبب الذي تَبادر إلى ذهن السيوطي حين سُئل عن ذلك، وهو أيضًا السبب الذي ذكره ابن هشام احتمالًا. </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الآخر: أن يكون التغيير من صنع الرواة لا من صنع الشعراء؛ لأن العرب كان يُنشد بعضُهم بعضًا، فتعدَّدت الروايات بتعدُّد الرواة؛ لأن كل الرواة كانوا من الفصحاء، ولا تقدح رواية في رواية، أي: لا ترد الرواية الرواية الأخرى.</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 xml:space="preserve">ونلحظ في كلام السيوطي: </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أنه يميل إلى ما ذكره ابن هشام، وهو أن التغيير من صنع الرواة لا من صنع الشعراء، وهذا هو السبب الأقرب إلى القَبول لقول ابن ولَّاد في ردِّه على المبرد: "الرواة قد تغير البيتَ على لغتها، وترويه على مذاهبها مما يوافق لغة الشاعر ويخالفها، ولذلك كثرت الروايات في البيت الواحد". فحصل ابن ولَّاد السبب في أمر واحد، وهو تصرف الرواة.</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وهناك سبب ثالث لم يذكره السيوطي أدَّى إلى تعدُّد الروايات في البيت الواحد، وهو أن يكون هذا التعدد لا من صنع الشعراء ولا من صنع الرواة، وإنما من صنع المشتغلين بدراسة البيت من النحويين وغيرهم، وقد عُرف المبرد بتغيير الروايات حتى قال عنه علي بن حمزة البصري: "واستشهاره بتغيير الروايات يغنينا عن التماس الحجج عليه". انتهى.</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وقد أشار السيوطي إلى أن البيت إذا رُوي بروايات مختلفة فربما يكون الشاهد في بعض هذه الروايات دون بعضها، ولم يذكر السيوطي مثالًا لذلك، ونذكر هنا ثلاثة أمثلة تدلُّ على أن الشاهد قد يكون في بعض الروايات دون بعضها الآخر:</w:t>
      </w:r>
    </w:p>
    <w:p w:rsidR="00BD1E3A" w:rsidRPr="00BD1E3A" w:rsidRDefault="00BD1E3A" w:rsidP="00BD1E3A">
      <w:pPr>
        <w:pStyle w:val="a3"/>
        <w:bidi/>
        <w:spacing w:before="0" w:beforeAutospacing="0"/>
        <w:jc w:val="lowKashida"/>
        <w:rPr>
          <w:rFonts w:asciiTheme="majorBidi" w:hAnsiTheme="majorBidi" w:cstheme="majorBidi"/>
          <w:b/>
          <w:bCs/>
          <w:sz w:val="18"/>
          <w:szCs w:val="18"/>
          <w:rtl/>
        </w:rPr>
      </w:pPr>
      <w:r w:rsidRPr="00BD1E3A">
        <w:rPr>
          <w:rFonts w:asciiTheme="majorBidi" w:hAnsiTheme="majorBidi" w:cstheme="majorBidi"/>
          <w:b/>
          <w:bCs/>
          <w:sz w:val="18"/>
          <w:szCs w:val="18"/>
          <w:rtl/>
        </w:rPr>
        <w:t>المثال الأول: ذكر النحويين أن الأصل في "كان" إذا كان معمولاها معرفة ونكرة؛ فالمعرفة هو الاسم، والنكرة هو الخبر، ولا يجوز العكس أي: لا يجوز أن يكون الاسم هو النكرة والخبر هو المعرفة، إلا في ضرورة الشعر، ومنه قول الشاعر:</w:t>
      </w:r>
    </w:p>
    <w:tbl>
      <w:tblPr>
        <w:bidiVisual/>
        <w:tblW w:w="0" w:type="auto"/>
        <w:jc w:val="center"/>
        <w:tblLook w:val="01E0"/>
      </w:tblPr>
      <w:tblGrid>
        <w:gridCol w:w="1919"/>
        <w:gridCol w:w="537"/>
        <w:gridCol w:w="1913"/>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tl/>
              </w:rPr>
            </w:pPr>
            <w:r w:rsidRPr="00BD1E3A">
              <w:rPr>
                <w:rFonts w:asciiTheme="majorBidi" w:eastAsia="Calibri" w:hAnsiTheme="majorBidi" w:cstheme="majorBidi"/>
                <w:b/>
                <w:bCs/>
                <w:sz w:val="18"/>
                <w:szCs w:val="18"/>
                <w:rtl/>
                <w:lang w:eastAsia="en-MY"/>
              </w:rPr>
              <w:t>قفي قبل التفرق يا ضباع</w:t>
            </w:r>
            <w:r w:rsidRPr="00BD1E3A">
              <w:rPr>
                <w:rFonts w:asciiTheme="majorBidi" w:eastAsia="Calibri" w:hAnsiTheme="majorBidi" w:cstheme="majorBidi"/>
                <w:b/>
                <w:bCs/>
                <w:sz w:val="18"/>
                <w:szCs w:val="18"/>
                <w:rtl/>
                <w:lang w:eastAsia="en-MY"/>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eastAsia="Calibri" w:hAnsiTheme="majorBidi" w:cstheme="majorBidi"/>
                <w:b/>
                <w:bCs/>
                <w:sz w:val="18"/>
                <w:szCs w:val="18"/>
                <w:lang w:eastAsia="en-MY"/>
              </w:rPr>
            </w:pPr>
            <w:r w:rsidRPr="00BD1E3A">
              <w:rPr>
                <w:rFonts w:asciiTheme="majorBidi" w:eastAsia="Calibri" w:hAnsiTheme="majorBidi" w:cstheme="majorBidi"/>
                <w:b/>
                <w:bCs/>
                <w:sz w:val="18"/>
                <w:szCs w:val="18"/>
                <w:rtl/>
                <w:lang w:eastAsia="en-MY"/>
              </w:rPr>
              <w:t>ولا يك موقف منك الوداع</w:t>
            </w:r>
            <w:r w:rsidRPr="00BD1E3A">
              <w:rPr>
                <w:rFonts w:asciiTheme="majorBidi" w:eastAsia="Calibri" w:hAnsiTheme="majorBidi" w:cstheme="majorBidi"/>
                <w:b/>
                <w:bCs/>
                <w:sz w:val="18"/>
                <w:szCs w:val="18"/>
                <w:rtl/>
                <w:lang w:eastAsia="en-MY"/>
              </w:rPr>
              <w:br/>
            </w:r>
          </w:p>
        </w:tc>
      </w:tr>
    </w:tbl>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فاسم يك نكرة وهو موقف، والخبر معرفة وهو الوداع؛ لضرورة الشعر. وفي البيت رواية أخرى وهي:</w:t>
      </w:r>
    </w:p>
    <w:tbl>
      <w:tblPr>
        <w:bidiVisual/>
        <w:tblW w:w="0" w:type="auto"/>
        <w:jc w:val="center"/>
        <w:tblLook w:val="01E0"/>
      </w:tblPr>
      <w:tblGrid>
        <w:gridCol w:w="1873"/>
        <w:gridCol w:w="543"/>
        <w:gridCol w:w="1953"/>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tl/>
              </w:rPr>
            </w:pPr>
            <w:r w:rsidRPr="00BD1E3A">
              <w:rPr>
                <w:rFonts w:asciiTheme="majorBidi" w:hAnsiTheme="majorBidi" w:cstheme="majorBidi"/>
                <w:b/>
                <w:bCs/>
                <w:sz w:val="18"/>
                <w:szCs w:val="18"/>
                <w:rtl/>
              </w:rPr>
              <w:t>.... .... .... ....</w:t>
            </w:r>
            <w:r w:rsidRPr="00BD1E3A">
              <w:rPr>
                <w:rFonts w:asciiTheme="majorBidi" w:hAnsiTheme="majorBidi" w:cstheme="majorBidi"/>
                <w:b/>
                <w:bCs/>
                <w:sz w:val="18"/>
                <w:szCs w:val="18"/>
                <w:rtl/>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Pr>
            </w:pPr>
            <w:r w:rsidRPr="00BD1E3A">
              <w:rPr>
                <w:rFonts w:asciiTheme="majorBidi" w:hAnsiTheme="majorBidi" w:cstheme="majorBidi"/>
                <w:b/>
                <w:bCs/>
                <w:sz w:val="18"/>
                <w:szCs w:val="18"/>
                <w:rtl/>
              </w:rPr>
              <w:t>ولا يك موقفي منك الوداع</w:t>
            </w:r>
            <w:r w:rsidRPr="00BD1E3A">
              <w:rPr>
                <w:rFonts w:asciiTheme="majorBidi" w:hAnsiTheme="majorBidi" w:cstheme="majorBidi"/>
                <w:b/>
                <w:bCs/>
                <w:sz w:val="18"/>
                <w:szCs w:val="18"/>
                <w:rtl/>
              </w:rPr>
              <w:br/>
            </w:r>
          </w:p>
        </w:tc>
      </w:tr>
    </w:tbl>
    <w:p w:rsidR="00BD1E3A" w:rsidRPr="00BD1E3A" w:rsidRDefault="00BD1E3A" w:rsidP="00BD1E3A">
      <w:pPr>
        <w:pStyle w:val="a3"/>
        <w:bidi/>
        <w:jc w:val="lowKashida"/>
        <w:rPr>
          <w:rFonts w:asciiTheme="majorBidi" w:hAnsiTheme="majorBidi" w:cstheme="majorBidi"/>
          <w:b/>
          <w:bCs/>
          <w:sz w:val="18"/>
          <w:szCs w:val="18"/>
        </w:rPr>
      </w:pPr>
      <w:r w:rsidRPr="00BD1E3A">
        <w:rPr>
          <w:rFonts w:asciiTheme="majorBidi" w:hAnsiTheme="majorBidi" w:cstheme="majorBidi"/>
          <w:b/>
          <w:bCs/>
          <w:sz w:val="18"/>
          <w:szCs w:val="18"/>
          <w:rtl/>
        </w:rPr>
        <w:t>ولا شاهدَ في البيت على هذه الرواية؛ لأن موقفي معرفة بإضافته إلى الضمير، كما أن الخبر معرفة أيضًا.</w:t>
      </w:r>
    </w:p>
    <w:p w:rsidR="00BD1E3A" w:rsidRPr="00BD1E3A" w:rsidRDefault="00BD1E3A" w:rsidP="00BD1E3A">
      <w:pPr>
        <w:pStyle w:val="a3"/>
        <w:bidi/>
        <w:jc w:val="lowKashida"/>
        <w:rPr>
          <w:rFonts w:asciiTheme="majorBidi" w:hAnsiTheme="majorBidi" w:cstheme="majorBidi"/>
          <w:b/>
          <w:bCs/>
          <w:sz w:val="18"/>
          <w:szCs w:val="18"/>
          <w:rtl/>
        </w:rPr>
      </w:pPr>
      <w:r w:rsidRPr="00BD1E3A">
        <w:rPr>
          <w:rFonts w:asciiTheme="majorBidi" w:hAnsiTheme="majorBidi" w:cstheme="majorBidi"/>
          <w:b/>
          <w:bCs/>
          <w:sz w:val="18"/>
          <w:szCs w:val="18"/>
          <w:rtl/>
        </w:rPr>
        <w:lastRenderedPageBreak/>
        <w:t>المثال الثاني: اختلف النحويون في تقديم التمييز على عامله المتصرف، فمذهب الكوفيين -واختاره المازني والمبرد- أنه يجوز أن يتقدم التمييز على عامله المتصرف فيقال: نفسًا طابَ زيد، ويستدلون على ذلك بقول الشاعر:</w:t>
      </w:r>
    </w:p>
    <w:tbl>
      <w:tblPr>
        <w:bidiVisual/>
        <w:tblW w:w="0" w:type="auto"/>
        <w:jc w:val="center"/>
        <w:tblLook w:val="01E0"/>
      </w:tblPr>
      <w:tblGrid>
        <w:gridCol w:w="1918"/>
        <w:gridCol w:w="533"/>
        <w:gridCol w:w="1918"/>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tl/>
              </w:rPr>
            </w:pPr>
            <w:r w:rsidRPr="00BD1E3A">
              <w:rPr>
                <w:rFonts w:asciiTheme="majorBidi" w:eastAsia="Calibri" w:hAnsiTheme="majorBidi" w:cstheme="majorBidi"/>
                <w:b/>
                <w:bCs/>
                <w:sz w:val="18"/>
                <w:szCs w:val="18"/>
                <w:rtl/>
                <w:lang w:eastAsia="en-MY"/>
              </w:rPr>
              <w:t>أتهجر ليلى بالفراق حبيبها</w:t>
            </w:r>
            <w:r w:rsidRPr="00BD1E3A">
              <w:rPr>
                <w:rFonts w:asciiTheme="majorBidi" w:eastAsia="Calibri" w:hAnsiTheme="majorBidi" w:cstheme="majorBidi"/>
                <w:b/>
                <w:bCs/>
                <w:sz w:val="18"/>
                <w:szCs w:val="18"/>
                <w:rtl/>
                <w:lang w:eastAsia="en-MY"/>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eastAsia="Calibri" w:hAnsiTheme="majorBidi" w:cstheme="majorBidi"/>
                <w:b/>
                <w:bCs/>
                <w:sz w:val="18"/>
                <w:szCs w:val="18"/>
                <w:lang w:eastAsia="en-MY"/>
              </w:rPr>
            </w:pPr>
            <w:r w:rsidRPr="00BD1E3A">
              <w:rPr>
                <w:rFonts w:asciiTheme="majorBidi" w:eastAsia="Calibri" w:hAnsiTheme="majorBidi" w:cstheme="majorBidi"/>
                <w:b/>
                <w:bCs/>
                <w:sz w:val="18"/>
                <w:szCs w:val="18"/>
                <w:rtl/>
                <w:lang w:eastAsia="en-MY"/>
              </w:rPr>
              <w:t>وما كان نفسًا بالفراق تطيب</w:t>
            </w:r>
            <w:r w:rsidRPr="00BD1E3A">
              <w:rPr>
                <w:rFonts w:asciiTheme="majorBidi" w:eastAsia="Calibri" w:hAnsiTheme="majorBidi" w:cstheme="majorBidi"/>
                <w:b/>
                <w:bCs/>
                <w:sz w:val="18"/>
                <w:szCs w:val="18"/>
                <w:rtl/>
                <w:lang w:eastAsia="en-MY"/>
              </w:rPr>
              <w:br/>
            </w:r>
          </w:p>
        </w:tc>
      </w:tr>
    </w:tbl>
    <w:p w:rsidR="00BD1E3A" w:rsidRPr="00BD1E3A" w:rsidRDefault="00BD1E3A" w:rsidP="00BD1E3A">
      <w:pPr>
        <w:pStyle w:val="a3"/>
        <w:bidi/>
        <w:jc w:val="lowKashida"/>
        <w:rPr>
          <w:rFonts w:asciiTheme="majorBidi" w:hAnsiTheme="majorBidi" w:cstheme="majorBidi"/>
          <w:b/>
          <w:bCs/>
          <w:sz w:val="18"/>
          <w:szCs w:val="18"/>
        </w:rPr>
      </w:pPr>
      <w:r w:rsidRPr="00BD1E3A">
        <w:rPr>
          <w:rFonts w:asciiTheme="majorBidi" w:hAnsiTheme="majorBidi" w:cstheme="majorBidi"/>
          <w:b/>
          <w:bCs/>
          <w:sz w:val="18"/>
          <w:szCs w:val="18"/>
          <w:rtl/>
        </w:rPr>
        <w:t>فنفسًا تمييز، وقد تقدم على عامله المتصرف تطيب، على هذه الرواية، ومذهب البصريين -عدا المبرد-: أنه لا يجوز أن يتقدم التمييز على عامله المتصرف، ويرْوُون هذا البيت برواية أخرى، إذ يقول الزجاج الرواية:</w:t>
      </w:r>
    </w:p>
    <w:tbl>
      <w:tblPr>
        <w:bidiVisual/>
        <w:tblW w:w="0" w:type="auto"/>
        <w:jc w:val="center"/>
        <w:tblLook w:val="01E0"/>
      </w:tblPr>
      <w:tblGrid>
        <w:gridCol w:w="1865"/>
        <w:gridCol w:w="541"/>
        <w:gridCol w:w="1963"/>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tl/>
              </w:rPr>
            </w:pPr>
            <w:r w:rsidRPr="00BD1E3A">
              <w:rPr>
                <w:rFonts w:asciiTheme="majorBidi" w:hAnsiTheme="majorBidi" w:cstheme="majorBidi"/>
                <w:b/>
                <w:bCs/>
                <w:sz w:val="18"/>
                <w:szCs w:val="18"/>
                <w:rtl/>
              </w:rPr>
              <w:t>.... .... .... ....</w:t>
            </w:r>
            <w:r w:rsidRPr="00BD1E3A">
              <w:rPr>
                <w:rFonts w:asciiTheme="majorBidi" w:hAnsiTheme="majorBidi" w:cstheme="majorBidi"/>
                <w:b/>
                <w:bCs/>
                <w:sz w:val="18"/>
                <w:szCs w:val="18"/>
                <w:rtl/>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Pr>
            </w:pPr>
            <w:r w:rsidRPr="00BD1E3A">
              <w:rPr>
                <w:rFonts w:asciiTheme="majorBidi" w:hAnsiTheme="majorBidi" w:cstheme="majorBidi"/>
                <w:b/>
                <w:bCs/>
                <w:sz w:val="18"/>
                <w:szCs w:val="18"/>
                <w:rtl/>
              </w:rPr>
              <w:t>وما كان نفسي بالفراق تطيب</w:t>
            </w:r>
            <w:r w:rsidRPr="00BD1E3A">
              <w:rPr>
                <w:rFonts w:asciiTheme="majorBidi" w:hAnsiTheme="majorBidi" w:cstheme="majorBidi"/>
                <w:b/>
                <w:bCs/>
                <w:sz w:val="18"/>
                <w:szCs w:val="18"/>
                <w:rtl/>
              </w:rPr>
              <w:br/>
            </w:r>
          </w:p>
        </w:tc>
      </w:tr>
    </w:tbl>
    <w:p w:rsidR="00BD1E3A" w:rsidRPr="00BD1E3A" w:rsidRDefault="00BD1E3A" w:rsidP="00BD1E3A">
      <w:pPr>
        <w:pStyle w:val="a3"/>
        <w:bidi/>
        <w:jc w:val="lowKashida"/>
        <w:rPr>
          <w:rFonts w:asciiTheme="majorBidi" w:hAnsiTheme="majorBidi" w:cstheme="majorBidi"/>
          <w:b/>
          <w:bCs/>
          <w:sz w:val="18"/>
          <w:szCs w:val="18"/>
        </w:rPr>
      </w:pPr>
      <w:r w:rsidRPr="00BD1E3A">
        <w:rPr>
          <w:rFonts w:asciiTheme="majorBidi" w:hAnsiTheme="majorBidi" w:cstheme="majorBidi"/>
          <w:b/>
          <w:bCs/>
          <w:sz w:val="18"/>
          <w:szCs w:val="18"/>
          <w:rtl/>
        </w:rPr>
        <w:t>ولا شاهدَ في البيت على هذه الرواية.</w:t>
      </w:r>
    </w:p>
    <w:p w:rsidR="00BD1E3A" w:rsidRPr="00BD1E3A" w:rsidRDefault="00BD1E3A" w:rsidP="00BD1E3A">
      <w:pPr>
        <w:pStyle w:val="a3"/>
        <w:bidi/>
        <w:jc w:val="lowKashida"/>
        <w:rPr>
          <w:rFonts w:asciiTheme="majorBidi" w:hAnsiTheme="majorBidi" w:cstheme="majorBidi"/>
          <w:b/>
          <w:bCs/>
          <w:sz w:val="18"/>
          <w:szCs w:val="18"/>
          <w:rtl/>
        </w:rPr>
      </w:pPr>
      <w:r w:rsidRPr="00BD1E3A">
        <w:rPr>
          <w:rFonts w:asciiTheme="majorBidi" w:hAnsiTheme="majorBidi" w:cstheme="majorBidi"/>
          <w:b/>
          <w:bCs/>
          <w:sz w:val="18"/>
          <w:szCs w:val="18"/>
          <w:rtl/>
        </w:rPr>
        <w:t>المثال الثالث: يذكر بعض النحاة أن لعل يكون حرف جر في لغة عقيل، ويستشهدون بقول الشاعر:</w:t>
      </w:r>
    </w:p>
    <w:tbl>
      <w:tblPr>
        <w:bidiVisual/>
        <w:tblW w:w="0" w:type="auto"/>
        <w:jc w:val="center"/>
        <w:tblLook w:val="01E0"/>
      </w:tblPr>
      <w:tblGrid>
        <w:gridCol w:w="1918"/>
        <w:gridCol w:w="533"/>
        <w:gridCol w:w="1918"/>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eastAsia="Calibri" w:hAnsiTheme="majorBidi" w:cstheme="majorBidi"/>
                <w:b/>
                <w:bCs/>
                <w:sz w:val="18"/>
                <w:szCs w:val="18"/>
                <w:rtl/>
                <w:lang w:eastAsia="en-MY"/>
              </w:rPr>
            </w:pPr>
            <w:r w:rsidRPr="00BD1E3A">
              <w:rPr>
                <w:rFonts w:asciiTheme="majorBidi" w:eastAsia="Calibri" w:hAnsiTheme="majorBidi" w:cstheme="majorBidi"/>
                <w:b/>
                <w:bCs/>
                <w:sz w:val="18"/>
                <w:szCs w:val="18"/>
                <w:rtl/>
                <w:lang w:eastAsia="en-MY"/>
              </w:rPr>
              <w:t>فقلت ادعُ أخرى وارفع الصوت جهرة</w:t>
            </w:r>
            <w:r w:rsidRPr="00BD1E3A">
              <w:rPr>
                <w:rFonts w:asciiTheme="majorBidi" w:eastAsia="Calibri" w:hAnsiTheme="majorBidi" w:cstheme="majorBidi"/>
                <w:b/>
                <w:bCs/>
                <w:sz w:val="18"/>
                <w:szCs w:val="18"/>
                <w:rtl/>
                <w:lang w:eastAsia="en-MY"/>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eastAsia="Calibri" w:hAnsiTheme="majorBidi" w:cstheme="majorBidi"/>
                <w:b/>
                <w:bCs/>
                <w:sz w:val="18"/>
                <w:szCs w:val="18"/>
                <w:lang w:eastAsia="en-MY"/>
              </w:rPr>
            </w:pPr>
            <w:r w:rsidRPr="00BD1E3A">
              <w:rPr>
                <w:rFonts w:asciiTheme="majorBidi" w:eastAsia="Calibri" w:hAnsiTheme="majorBidi" w:cstheme="majorBidi"/>
                <w:b/>
                <w:bCs/>
                <w:sz w:val="18"/>
                <w:szCs w:val="18"/>
                <w:rtl/>
                <w:lang w:eastAsia="en-MY"/>
              </w:rPr>
              <w:t>لعل أبي المِغوار منك قريب</w:t>
            </w:r>
            <w:r w:rsidRPr="00BD1E3A">
              <w:rPr>
                <w:rFonts w:asciiTheme="majorBidi" w:eastAsia="Calibri" w:hAnsiTheme="majorBidi" w:cstheme="majorBidi"/>
                <w:b/>
                <w:bCs/>
                <w:sz w:val="18"/>
                <w:szCs w:val="18"/>
                <w:rtl/>
                <w:lang w:eastAsia="en-MY"/>
              </w:rPr>
              <w:br/>
            </w:r>
          </w:p>
        </w:tc>
      </w:tr>
    </w:tbl>
    <w:p w:rsidR="00BD1E3A" w:rsidRPr="00BD1E3A" w:rsidRDefault="00BD1E3A" w:rsidP="00BD1E3A">
      <w:pPr>
        <w:pStyle w:val="a3"/>
        <w:bidi/>
        <w:spacing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بجر أبي المغوار، وفي البيت رواية أخرى وهي:</w:t>
      </w:r>
    </w:p>
    <w:tbl>
      <w:tblPr>
        <w:bidiVisual/>
        <w:tblW w:w="0" w:type="auto"/>
        <w:jc w:val="center"/>
        <w:tblLook w:val="01E0"/>
      </w:tblPr>
      <w:tblGrid>
        <w:gridCol w:w="1865"/>
        <w:gridCol w:w="541"/>
        <w:gridCol w:w="1963"/>
      </w:tblGrid>
      <w:tr w:rsidR="00BD1E3A" w:rsidRPr="00BD1E3A" w:rsidTr="00F30183">
        <w:trPr>
          <w:trHeight w:hRule="exact" w:val="510"/>
          <w:jc w:val="center"/>
        </w:trPr>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tl/>
              </w:rPr>
            </w:pPr>
            <w:r w:rsidRPr="00BD1E3A">
              <w:rPr>
                <w:rFonts w:asciiTheme="majorBidi" w:hAnsiTheme="majorBidi" w:cstheme="majorBidi"/>
                <w:b/>
                <w:bCs/>
                <w:sz w:val="18"/>
                <w:szCs w:val="18"/>
                <w:rtl/>
              </w:rPr>
              <w:t>.... .... .... ....</w:t>
            </w:r>
            <w:r w:rsidRPr="00BD1E3A">
              <w:rPr>
                <w:rFonts w:asciiTheme="majorBidi" w:hAnsiTheme="majorBidi" w:cstheme="majorBidi"/>
                <w:b/>
                <w:bCs/>
                <w:sz w:val="18"/>
                <w:szCs w:val="18"/>
                <w:rtl/>
              </w:rPr>
              <w:br/>
            </w:r>
          </w:p>
        </w:tc>
        <w:tc>
          <w:tcPr>
            <w:tcW w:w="709" w:type="dxa"/>
            <w:vAlign w:val="center"/>
          </w:tcPr>
          <w:p w:rsidR="00BD1E3A" w:rsidRPr="00BD1E3A" w:rsidRDefault="00BD1E3A" w:rsidP="00BD1E3A">
            <w:pPr>
              <w:spacing w:after="120" w:line="240" w:lineRule="auto"/>
              <w:jc w:val="center"/>
              <w:rPr>
                <w:rFonts w:asciiTheme="majorBidi" w:hAnsiTheme="majorBidi" w:cstheme="majorBidi"/>
                <w:b/>
                <w:bCs/>
                <w:sz w:val="18"/>
                <w:szCs w:val="18"/>
                <w:rtl/>
              </w:rPr>
            </w:pPr>
            <w:r w:rsidRPr="00BD1E3A">
              <w:rPr>
                <w:rFonts w:asciiTheme="majorBidi" w:hAnsiTheme="majorBidi" w:cstheme="majorBidi"/>
                <w:b/>
                <w:bCs/>
                <w:sz w:val="18"/>
                <w:szCs w:val="18"/>
                <w:rtl/>
              </w:rPr>
              <w:t>*</w:t>
            </w:r>
          </w:p>
        </w:tc>
        <w:tc>
          <w:tcPr>
            <w:tcW w:w="2909" w:type="dxa"/>
            <w:vAlign w:val="center"/>
          </w:tcPr>
          <w:p w:rsidR="00BD1E3A" w:rsidRPr="00BD1E3A" w:rsidRDefault="00BD1E3A" w:rsidP="00BD1E3A">
            <w:pPr>
              <w:spacing w:after="120" w:line="240" w:lineRule="auto"/>
              <w:jc w:val="both"/>
              <w:rPr>
                <w:rFonts w:asciiTheme="majorBidi" w:hAnsiTheme="majorBidi" w:cstheme="majorBidi"/>
                <w:b/>
                <w:bCs/>
                <w:sz w:val="18"/>
                <w:szCs w:val="18"/>
              </w:rPr>
            </w:pPr>
            <w:r w:rsidRPr="00BD1E3A">
              <w:rPr>
                <w:rFonts w:asciiTheme="majorBidi" w:hAnsiTheme="majorBidi" w:cstheme="majorBidi"/>
                <w:b/>
                <w:bCs/>
                <w:sz w:val="18"/>
                <w:szCs w:val="18"/>
                <w:rtl/>
              </w:rPr>
              <w:t>لعل أبا المغوار منك قريب</w:t>
            </w:r>
            <w:r w:rsidRPr="00BD1E3A">
              <w:rPr>
                <w:rFonts w:asciiTheme="majorBidi" w:hAnsiTheme="majorBidi" w:cstheme="majorBidi"/>
                <w:b/>
                <w:bCs/>
                <w:sz w:val="18"/>
                <w:szCs w:val="18"/>
                <w:rtl/>
              </w:rPr>
              <w:br/>
            </w:r>
          </w:p>
        </w:tc>
      </w:tr>
    </w:tbl>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 xml:space="preserve">أبا: اسم من الأسماء الستة منصوب بالألف على الرواية الأخيرة، فكأن لعل على بابها، فهي أخت من أخوات إن تنصب المبتدأ وترفع الخبرَ. </w:t>
      </w:r>
    </w:p>
    <w:p w:rsidR="00BD1E3A" w:rsidRPr="00BD1E3A" w:rsidRDefault="00BD1E3A" w:rsidP="00BD1E3A">
      <w:pPr>
        <w:pStyle w:val="a3"/>
        <w:bidi/>
        <w:spacing w:before="0" w:beforeAutospacing="0" w:after="120" w:afterAutospacing="0"/>
        <w:jc w:val="lowKashida"/>
        <w:rPr>
          <w:rFonts w:asciiTheme="majorBidi" w:hAnsiTheme="majorBidi" w:cstheme="majorBidi"/>
          <w:b/>
          <w:bCs/>
          <w:sz w:val="18"/>
          <w:szCs w:val="18"/>
        </w:rPr>
      </w:pPr>
      <w:r w:rsidRPr="00BD1E3A">
        <w:rPr>
          <w:rFonts w:asciiTheme="majorBidi" w:hAnsiTheme="majorBidi" w:cstheme="majorBidi"/>
          <w:b/>
          <w:bCs/>
          <w:sz w:val="18"/>
          <w:szCs w:val="18"/>
          <w:rtl/>
        </w:rPr>
        <w:t>وقد وصف أبو زيد الأنصاري هذه الروايةَ بأنها الرواية المشهورة التي لا خلافَ فيها، ولا شاهد في البيت على هذه الرواية -أي: الأخيرة.</w:t>
      </w:r>
    </w:p>
    <w:p w:rsidR="00BD1E3A" w:rsidRPr="00BD1E3A" w:rsidRDefault="00BD1E3A" w:rsidP="00BD1E3A">
      <w:pPr>
        <w:spacing w:line="240" w:lineRule="auto"/>
        <w:rPr>
          <w:rFonts w:asciiTheme="majorBidi" w:hAnsiTheme="majorBidi" w:cstheme="majorBidi"/>
          <w:b/>
          <w:bCs/>
          <w:sz w:val="18"/>
          <w:szCs w:val="18"/>
          <w:rtl/>
        </w:rPr>
      </w:pPr>
      <w:r w:rsidRPr="00BD1E3A">
        <w:rPr>
          <w:rFonts w:asciiTheme="majorBidi" w:hAnsiTheme="majorBidi" w:cstheme="majorBidi"/>
          <w:b/>
          <w:bCs/>
          <w:sz w:val="18"/>
          <w:szCs w:val="18"/>
          <w:rtl/>
        </w:rPr>
        <w:t>ونختم بأن نُشير إلى أنه إذا تعارضت روايتان لبيت واحد بأن كانت إحداهما تثبت حُكمًا نحويًّا، والأخرى تنفي هذا الحكمَ؛ فإن ابن جني -رحمه الله- قد دعا إلى تحكيم القياس بين هاتين الروايتين، فقال: "فرواية برواية، والقياس بعدُ حاكم".</w:t>
      </w:r>
    </w:p>
    <w:p w:rsidR="00D320B9" w:rsidRPr="00065588" w:rsidRDefault="00D320B9" w:rsidP="00D320B9">
      <w:pPr>
        <w:widowControl w:val="0"/>
        <w:spacing w:after="120" w:line="240" w:lineRule="auto"/>
        <w:jc w:val="center"/>
        <w:rPr>
          <w:rFonts w:asciiTheme="majorBidi" w:eastAsia="Calibri" w:hAnsiTheme="majorBidi" w:cstheme="majorBidi"/>
          <w:b/>
          <w:bCs/>
          <w:sz w:val="18"/>
          <w:szCs w:val="18"/>
          <w:rtl/>
        </w:rPr>
      </w:pPr>
      <w:r w:rsidRPr="00065588">
        <w:rPr>
          <w:rFonts w:asciiTheme="majorBidi" w:eastAsia="Calibri" w:hAnsiTheme="majorBidi" w:cstheme="majorBidi"/>
          <w:b/>
          <w:bCs/>
          <w:sz w:val="18"/>
          <w:szCs w:val="18"/>
          <w:rtl/>
        </w:rPr>
        <w:t>المراجع والمصادر</w:t>
      </w:r>
    </w:p>
    <w:p w:rsidR="00D320B9" w:rsidRPr="000C66D1" w:rsidRDefault="00D320B9" w:rsidP="00D320B9">
      <w:pPr>
        <w:numPr>
          <w:ilvl w:val="0"/>
          <w:numId w:val="1"/>
        </w:numPr>
        <w:spacing w:after="120" w:line="240" w:lineRule="auto"/>
        <w:jc w:val="lowKashida"/>
        <w:rPr>
          <w:rFonts w:asciiTheme="majorBidi" w:eastAsia="SimSun" w:hAnsiTheme="majorBidi" w:cstheme="majorBidi"/>
          <w:b/>
          <w:bCs/>
          <w:sz w:val="18"/>
          <w:szCs w:val="18"/>
          <w:rtl/>
          <w:lang w:bidi="ar-EG"/>
        </w:rPr>
      </w:pPr>
      <w:r w:rsidRPr="000C66D1">
        <w:rPr>
          <w:rFonts w:asciiTheme="majorBidi" w:hAnsiTheme="majorBidi" w:cstheme="majorBidi"/>
          <w:b/>
          <w:bCs/>
          <w:sz w:val="18"/>
          <w:szCs w:val="18"/>
          <w:rtl/>
        </w:rPr>
        <w:t>السيوطي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sz w:val="18"/>
          <w:szCs w:val="18"/>
          <w:rtl/>
        </w:rPr>
        <w:t>جلال الدين عبد الرحمن بن كمال السيوطي</w:t>
      </w:r>
      <w:r w:rsidRPr="000C66D1">
        <w:rPr>
          <w:rFonts w:asciiTheme="majorBidi" w:hAnsiTheme="majorBidi" w:cstheme="majorBidi"/>
          <w:b/>
          <w:bCs/>
          <w:noProof/>
          <w:sz w:val="18"/>
          <w:szCs w:val="18"/>
          <w:rtl/>
        </w:rPr>
        <w:t xml:space="preserve"> (</w:t>
      </w:r>
      <w:r w:rsidRPr="000C66D1">
        <w:rPr>
          <w:rFonts w:asciiTheme="majorBidi" w:hAnsiTheme="majorBidi" w:cstheme="majorBidi"/>
          <w:b/>
          <w:bCs/>
          <w:sz w:val="18"/>
          <w:szCs w:val="18"/>
          <w:rtl/>
        </w:rPr>
        <w:t>الاقتراح في علم أصول النحو) ، تحقيق طه عبد الرؤوف سعد، مكتبة الصفا، 1999م</w:t>
      </w:r>
      <w:r w:rsidRPr="000C66D1">
        <w:rPr>
          <w:rFonts w:asciiTheme="majorBidi" w:eastAsia="SimSun" w:hAnsiTheme="majorBidi" w:cstheme="majorBidi"/>
          <w:b/>
          <w:bCs/>
          <w:sz w:val="18"/>
          <w:szCs w:val="18"/>
          <w:rtl/>
          <w:lang w:bidi="ar-EG"/>
        </w:rPr>
        <w:t>.</w:t>
      </w:r>
    </w:p>
    <w:p w:rsidR="00D320B9" w:rsidRPr="000C66D1" w:rsidRDefault="00D320B9" w:rsidP="00D320B9">
      <w:pPr>
        <w:numPr>
          <w:ilvl w:val="0"/>
          <w:numId w:val="1"/>
        </w:numPr>
        <w:spacing w:after="120" w:line="240" w:lineRule="auto"/>
        <w:ind w:left="284" w:firstLine="283"/>
        <w:jc w:val="lowKashida"/>
        <w:rPr>
          <w:rFonts w:asciiTheme="majorBidi" w:eastAsia="SimSun" w:hAnsiTheme="majorBidi" w:cstheme="majorBidi"/>
          <w:b/>
          <w:bCs/>
          <w:sz w:val="18"/>
          <w:szCs w:val="18"/>
          <w:rtl/>
        </w:rPr>
      </w:pPr>
      <w:r w:rsidRPr="000C66D1">
        <w:rPr>
          <w:rFonts w:asciiTheme="majorBidi" w:hAnsiTheme="majorBidi" w:cstheme="majorBidi"/>
          <w:b/>
          <w:bCs/>
          <w:sz w:val="18"/>
          <w:szCs w:val="18"/>
          <w:rtl/>
        </w:rPr>
        <w:t>محمود فجال، دمشق</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noProof/>
          <w:sz w:val="18"/>
          <w:szCs w:val="18"/>
          <w:rtl/>
        </w:rPr>
        <w:t xml:space="preserve">(الإصباح في شرح الاقتراح) </w:t>
      </w:r>
      <w:r w:rsidRPr="000C66D1">
        <w:rPr>
          <w:rFonts w:asciiTheme="majorBidi" w:hAnsiTheme="majorBidi" w:cstheme="majorBidi"/>
          <w:b/>
          <w:bCs/>
          <w:sz w:val="18"/>
          <w:szCs w:val="18"/>
          <w:rtl/>
        </w:rPr>
        <w:t>،  دار القلم، 1989م.</w:t>
      </w:r>
    </w:p>
    <w:p w:rsidR="00D320B9" w:rsidRPr="000C66D1" w:rsidRDefault="00D320B9" w:rsidP="00D320B9">
      <w:pPr>
        <w:numPr>
          <w:ilvl w:val="0"/>
          <w:numId w:val="1"/>
        </w:numPr>
        <w:spacing w:after="120" w:line="240" w:lineRule="auto"/>
        <w:jc w:val="lowKashida"/>
        <w:rPr>
          <w:rFonts w:asciiTheme="majorBidi" w:eastAsia="SimSun" w:hAnsiTheme="majorBidi" w:cstheme="majorBidi"/>
          <w:b/>
          <w:bCs/>
          <w:sz w:val="18"/>
          <w:szCs w:val="18"/>
          <w:rtl/>
          <w:lang w:bidi="ar-EG"/>
        </w:rPr>
      </w:pPr>
      <w:r w:rsidRPr="000C66D1">
        <w:rPr>
          <w:rFonts w:asciiTheme="majorBidi" w:hAnsiTheme="majorBidi" w:cstheme="majorBidi" w:hint="cs"/>
          <w:b/>
          <w:bCs/>
          <w:sz w:val="18"/>
          <w:szCs w:val="18"/>
          <w:rtl/>
        </w:rPr>
        <w:t>ا</w:t>
      </w:r>
      <w:r w:rsidRPr="000C66D1">
        <w:rPr>
          <w:rFonts w:asciiTheme="majorBidi" w:hAnsiTheme="majorBidi" w:cstheme="majorBidi"/>
          <w:b/>
          <w:bCs/>
          <w:sz w:val="18"/>
          <w:szCs w:val="18"/>
          <w:rtl/>
        </w:rPr>
        <w:t>بن جني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sz w:val="18"/>
          <w:szCs w:val="18"/>
          <w:rtl/>
        </w:rPr>
        <w:t>أبو الفتح عثمان بن جني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noProof/>
          <w:sz w:val="18"/>
          <w:szCs w:val="18"/>
          <w:rtl/>
        </w:rPr>
        <w:t>(الخصائص)</w:t>
      </w:r>
      <w:r w:rsidRPr="000C66D1">
        <w:rPr>
          <w:rFonts w:asciiTheme="majorBidi" w:hAnsiTheme="majorBidi" w:cstheme="majorBidi"/>
          <w:b/>
          <w:bCs/>
          <w:sz w:val="18"/>
          <w:szCs w:val="18"/>
          <w:rtl/>
        </w:rPr>
        <w:t>، تحقيق محمد علي النجار، دار الكتاب العربي، 1953م</w:t>
      </w:r>
      <w:r w:rsidRPr="000C66D1">
        <w:rPr>
          <w:rFonts w:asciiTheme="majorBidi" w:eastAsia="SimSun" w:hAnsiTheme="majorBidi" w:cstheme="majorBidi"/>
          <w:b/>
          <w:bCs/>
          <w:sz w:val="18"/>
          <w:szCs w:val="18"/>
          <w:rtl/>
          <w:lang w:bidi="ar-EG"/>
        </w:rPr>
        <w:t>.</w:t>
      </w:r>
    </w:p>
    <w:p w:rsidR="00D320B9" w:rsidRPr="000C66D1" w:rsidRDefault="00D320B9" w:rsidP="00D320B9">
      <w:pPr>
        <w:numPr>
          <w:ilvl w:val="0"/>
          <w:numId w:val="1"/>
        </w:numPr>
        <w:spacing w:after="120" w:line="240" w:lineRule="auto"/>
        <w:jc w:val="lowKashida"/>
        <w:rPr>
          <w:rFonts w:asciiTheme="majorBidi" w:hAnsiTheme="majorBidi" w:cstheme="majorBidi"/>
          <w:b/>
          <w:bCs/>
          <w:sz w:val="18"/>
          <w:szCs w:val="18"/>
        </w:rPr>
      </w:pPr>
      <w:r w:rsidRPr="000C66D1">
        <w:rPr>
          <w:rFonts w:asciiTheme="majorBidi" w:hAnsiTheme="majorBidi" w:cstheme="majorBidi"/>
          <w:b/>
          <w:bCs/>
          <w:sz w:val="18"/>
          <w:szCs w:val="18"/>
          <w:rtl/>
        </w:rPr>
        <w:t>الأنباري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sz w:val="18"/>
          <w:szCs w:val="18"/>
          <w:rtl/>
        </w:rPr>
        <w:t>أبي البركات الأنباري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w:t>
      </w:r>
      <w:r w:rsidRPr="000C66D1">
        <w:rPr>
          <w:rFonts w:asciiTheme="majorBidi" w:hAnsiTheme="majorBidi" w:cstheme="majorBidi"/>
          <w:b/>
          <w:bCs/>
          <w:noProof/>
          <w:sz w:val="18"/>
          <w:szCs w:val="18"/>
          <w:rtl/>
        </w:rPr>
        <w:t xml:space="preserve">(الإغراب في جدول الإعراب)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sz w:val="18"/>
          <w:szCs w:val="18"/>
          <w:rtl/>
        </w:rPr>
        <w:t>، تحقيق سعيد الأفغاني ، مطبعة الجامعة السورية، 1957م.</w:t>
      </w:r>
    </w:p>
    <w:p w:rsidR="00D320B9" w:rsidRPr="000C66D1" w:rsidRDefault="00D320B9" w:rsidP="00D320B9">
      <w:pPr>
        <w:numPr>
          <w:ilvl w:val="0"/>
          <w:numId w:val="1"/>
        </w:numPr>
        <w:spacing w:after="120" w:line="240" w:lineRule="auto"/>
        <w:ind w:left="284" w:firstLine="283"/>
        <w:jc w:val="lowKashida"/>
        <w:rPr>
          <w:rFonts w:asciiTheme="majorBidi" w:hAnsiTheme="majorBidi" w:cstheme="majorBidi"/>
          <w:b/>
          <w:bCs/>
          <w:sz w:val="18"/>
          <w:szCs w:val="18"/>
          <w:rtl/>
        </w:rPr>
      </w:pPr>
      <w:r w:rsidRPr="000C66D1">
        <w:rPr>
          <w:rFonts w:asciiTheme="majorBidi" w:hAnsiTheme="majorBidi" w:cstheme="majorBidi"/>
          <w:b/>
          <w:bCs/>
          <w:sz w:val="18"/>
          <w:szCs w:val="18"/>
          <w:rtl/>
        </w:rPr>
        <w:t>سعيد الأفغاني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noProof/>
          <w:sz w:val="18"/>
          <w:szCs w:val="18"/>
          <w:rtl/>
        </w:rPr>
        <w:t xml:space="preserve">(في أصول النحو) </w:t>
      </w:r>
      <w:r w:rsidRPr="000C66D1">
        <w:rPr>
          <w:rFonts w:asciiTheme="majorBidi" w:hAnsiTheme="majorBidi" w:cstheme="majorBidi"/>
          <w:b/>
          <w:bCs/>
          <w:sz w:val="18"/>
          <w:szCs w:val="18"/>
          <w:rtl/>
        </w:rPr>
        <w:t xml:space="preserve">،بيروت، المكتب الإسلامي، 1987م. </w:t>
      </w:r>
    </w:p>
    <w:p w:rsidR="00D320B9" w:rsidRPr="000C66D1" w:rsidRDefault="00D320B9" w:rsidP="00D320B9">
      <w:pPr>
        <w:numPr>
          <w:ilvl w:val="0"/>
          <w:numId w:val="1"/>
        </w:numPr>
        <w:spacing w:after="120" w:line="240" w:lineRule="auto"/>
        <w:jc w:val="lowKashida"/>
        <w:rPr>
          <w:rFonts w:asciiTheme="majorBidi" w:hAnsiTheme="majorBidi" w:cstheme="majorBidi"/>
          <w:b/>
          <w:bCs/>
          <w:sz w:val="18"/>
          <w:szCs w:val="18"/>
          <w:rtl/>
          <w:lang w:bidi="ar-EG"/>
        </w:rPr>
      </w:pPr>
      <w:r w:rsidRPr="000C66D1">
        <w:rPr>
          <w:rFonts w:asciiTheme="majorBidi" w:hAnsiTheme="majorBidi" w:cstheme="majorBidi"/>
          <w:b/>
          <w:bCs/>
          <w:sz w:val="18"/>
          <w:szCs w:val="18"/>
          <w:rtl/>
        </w:rPr>
        <w:t>سيبويه</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w:t>
      </w:r>
      <w:r w:rsidRPr="000C66D1">
        <w:rPr>
          <w:rFonts w:asciiTheme="majorBidi" w:hAnsiTheme="majorBidi" w:cstheme="majorBidi"/>
          <w:b/>
          <w:bCs/>
          <w:sz w:val="18"/>
          <w:szCs w:val="18"/>
          <w:rtl/>
        </w:rPr>
        <w:t xml:space="preserve"> عمرو بن عثمان بن قنبر سيبويه</w:t>
      </w:r>
      <w:r w:rsidRPr="000C66D1">
        <w:rPr>
          <w:rFonts w:asciiTheme="majorBidi" w:hAnsiTheme="majorBidi" w:cstheme="majorBidi" w:hint="cs"/>
          <w:b/>
          <w:bCs/>
          <w:noProof/>
          <w:sz w:val="18"/>
          <w:szCs w:val="18"/>
          <w:rtl/>
        </w:rPr>
        <w:t xml:space="preserve"> ،  </w:t>
      </w:r>
      <w:r w:rsidRPr="000C66D1">
        <w:rPr>
          <w:rFonts w:asciiTheme="majorBidi" w:hAnsiTheme="majorBidi" w:cstheme="majorBidi"/>
          <w:b/>
          <w:bCs/>
          <w:noProof/>
          <w:sz w:val="18"/>
          <w:szCs w:val="18"/>
          <w:rtl/>
        </w:rPr>
        <w:t xml:space="preserve">(كتاب سيبويه)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sz w:val="18"/>
          <w:szCs w:val="18"/>
          <w:rtl/>
        </w:rPr>
        <w:t>،  تحقيق عبد السلام هارون ، الهيئة المصرية العامة للكتاب، 1977م.</w:t>
      </w:r>
    </w:p>
    <w:p w:rsidR="00D320B9" w:rsidRPr="000C66D1" w:rsidRDefault="00D320B9" w:rsidP="00D320B9">
      <w:pPr>
        <w:numPr>
          <w:ilvl w:val="0"/>
          <w:numId w:val="1"/>
        </w:numPr>
        <w:spacing w:after="120" w:line="240" w:lineRule="auto"/>
        <w:jc w:val="lowKashida"/>
        <w:rPr>
          <w:rFonts w:asciiTheme="majorBidi" w:hAnsiTheme="majorBidi" w:cstheme="majorBidi"/>
          <w:b/>
          <w:bCs/>
          <w:sz w:val="18"/>
          <w:szCs w:val="18"/>
          <w:rtl/>
        </w:rPr>
      </w:pPr>
      <w:r w:rsidRPr="000C66D1">
        <w:rPr>
          <w:rFonts w:asciiTheme="majorBidi" w:hAnsiTheme="majorBidi" w:cstheme="majorBidi"/>
          <w:b/>
          <w:bCs/>
          <w:sz w:val="18"/>
          <w:szCs w:val="18"/>
          <w:rtl/>
        </w:rPr>
        <w:t>الأنباري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sz w:val="18"/>
          <w:szCs w:val="18"/>
          <w:rtl/>
        </w:rPr>
        <w:t>أبي البركات الأنباري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noProof/>
          <w:sz w:val="18"/>
          <w:szCs w:val="18"/>
          <w:rtl/>
        </w:rPr>
        <w:t xml:space="preserve">(لمع الأدلة في أصول النحو) </w:t>
      </w:r>
      <w:r w:rsidRPr="000C66D1">
        <w:rPr>
          <w:rFonts w:asciiTheme="majorBidi" w:hAnsiTheme="majorBidi" w:cstheme="majorBidi"/>
          <w:b/>
          <w:bCs/>
          <w:sz w:val="18"/>
          <w:szCs w:val="18"/>
          <w:rtl/>
        </w:rPr>
        <w:t>، تحقيق سعيد الأفغاني، مطبعة الجامعة السورية،  1957م.</w:t>
      </w:r>
    </w:p>
    <w:p w:rsidR="00D320B9" w:rsidRPr="000C66D1" w:rsidRDefault="00D320B9" w:rsidP="00D320B9">
      <w:pPr>
        <w:numPr>
          <w:ilvl w:val="0"/>
          <w:numId w:val="1"/>
        </w:numPr>
        <w:spacing w:after="120" w:line="240" w:lineRule="auto"/>
        <w:ind w:left="284" w:firstLine="283"/>
        <w:jc w:val="lowKashida"/>
        <w:rPr>
          <w:rFonts w:asciiTheme="majorBidi" w:hAnsiTheme="majorBidi" w:cstheme="majorBidi"/>
          <w:b/>
          <w:bCs/>
          <w:sz w:val="18"/>
          <w:szCs w:val="18"/>
        </w:rPr>
      </w:pPr>
      <w:r w:rsidRPr="000C66D1">
        <w:rPr>
          <w:rFonts w:asciiTheme="majorBidi" w:hAnsiTheme="majorBidi" w:cstheme="majorBidi"/>
          <w:b/>
          <w:bCs/>
          <w:sz w:val="18"/>
          <w:szCs w:val="18"/>
          <w:rtl/>
        </w:rPr>
        <w:t>سعيد الأفغاني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noProof/>
          <w:sz w:val="18"/>
          <w:szCs w:val="18"/>
          <w:rtl/>
        </w:rPr>
        <w:t>(من تاريخ النحو)</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sz w:val="18"/>
          <w:szCs w:val="18"/>
          <w:rtl/>
        </w:rPr>
        <w:t>، دار الفكر، 1978م.</w:t>
      </w:r>
    </w:p>
    <w:p w:rsidR="00D320B9" w:rsidRPr="000C66D1" w:rsidRDefault="00D320B9" w:rsidP="00D320B9">
      <w:pPr>
        <w:numPr>
          <w:ilvl w:val="0"/>
          <w:numId w:val="1"/>
        </w:numPr>
        <w:spacing w:after="120" w:line="240" w:lineRule="auto"/>
        <w:ind w:left="284" w:firstLine="283"/>
        <w:jc w:val="lowKashida"/>
        <w:rPr>
          <w:rFonts w:asciiTheme="majorBidi" w:hAnsiTheme="majorBidi" w:cstheme="majorBidi"/>
          <w:b/>
          <w:bCs/>
          <w:sz w:val="18"/>
          <w:szCs w:val="18"/>
        </w:rPr>
      </w:pPr>
      <w:r w:rsidRPr="000C66D1">
        <w:rPr>
          <w:rFonts w:asciiTheme="majorBidi" w:hAnsiTheme="majorBidi" w:cstheme="majorBidi"/>
          <w:b/>
          <w:bCs/>
          <w:sz w:val="18"/>
          <w:szCs w:val="18"/>
          <w:rtl/>
        </w:rPr>
        <w:lastRenderedPageBreak/>
        <w:t>مازن المبارك</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noProof/>
          <w:sz w:val="18"/>
          <w:szCs w:val="18"/>
          <w:rtl/>
        </w:rPr>
        <w:t xml:space="preserve">(النحو العربي  العلة النحوية نشأتها وتطورها) </w:t>
      </w:r>
      <w:r w:rsidRPr="000C66D1">
        <w:rPr>
          <w:rFonts w:asciiTheme="majorBidi" w:hAnsiTheme="majorBidi" w:cstheme="majorBidi"/>
          <w:b/>
          <w:bCs/>
          <w:sz w:val="18"/>
          <w:szCs w:val="18"/>
          <w:rtl/>
        </w:rPr>
        <w:t>، دار الفكر، 1981م.</w:t>
      </w:r>
    </w:p>
    <w:p w:rsidR="00D320B9" w:rsidRPr="000C66D1" w:rsidRDefault="00D320B9" w:rsidP="00D320B9">
      <w:pPr>
        <w:pStyle w:val="a4"/>
        <w:numPr>
          <w:ilvl w:val="0"/>
          <w:numId w:val="1"/>
        </w:numPr>
        <w:spacing w:after="120" w:line="240" w:lineRule="auto"/>
        <w:jc w:val="lowKashida"/>
        <w:rPr>
          <w:rFonts w:asciiTheme="majorBidi" w:hAnsiTheme="majorBidi" w:cstheme="majorBidi"/>
          <w:b/>
          <w:bCs/>
          <w:sz w:val="18"/>
          <w:szCs w:val="18"/>
          <w:rtl/>
        </w:rPr>
      </w:pPr>
      <w:r w:rsidRPr="000C66D1">
        <w:rPr>
          <w:rFonts w:asciiTheme="majorBidi" w:hAnsiTheme="majorBidi" w:cstheme="majorBidi"/>
          <w:b/>
          <w:bCs/>
          <w:sz w:val="18"/>
          <w:szCs w:val="18"/>
          <w:rtl/>
        </w:rPr>
        <w:t>محمد الطنطاوي</w:t>
      </w:r>
      <w:r w:rsidRPr="000C66D1">
        <w:rPr>
          <w:rFonts w:asciiTheme="majorBidi" w:hAnsiTheme="majorBidi" w:cstheme="majorBidi"/>
          <w:b/>
          <w:bCs/>
          <w:noProof/>
          <w:sz w:val="18"/>
          <w:szCs w:val="18"/>
          <w:rtl/>
        </w:rPr>
        <w:t xml:space="preserve">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noProof/>
          <w:sz w:val="18"/>
          <w:szCs w:val="18"/>
          <w:rtl/>
        </w:rPr>
        <w:t xml:space="preserve">(نشأة النحو  وتاريخ أشهر النحاة) </w:t>
      </w:r>
      <w:r w:rsidRPr="000C66D1">
        <w:rPr>
          <w:rFonts w:asciiTheme="majorBidi" w:hAnsiTheme="majorBidi" w:cstheme="majorBidi" w:hint="cs"/>
          <w:b/>
          <w:bCs/>
          <w:noProof/>
          <w:sz w:val="18"/>
          <w:szCs w:val="18"/>
          <w:rtl/>
        </w:rPr>
        <w:t xml:space="preserve">، </w:t>
      </w:r>
      <w:r w:rsidRPr="000C66D1">
        <w:rPr>
          <w:rFonts w:asciiTheme="majorBidi" w:hAnsiTheme="majorBidi" w:cstheme="majorBidi"/>
          <w:b/>
          <w:bCs/>
          <w:sz w:val="18"/>
          <w:szCs w:val="18"/>
          <w:rtl/>
        </w:rPr>
        <w:t>، القاهرة، مطبعة وادي الملوك، 1954م.</w:t>
      </w:r>
    </w:p>
    <w:p w:rsidR="00BD1E3A" w:rsidRPr="00BD1E3A" w:rsidRDefault="00BD1E3A" w:rsidP="00D320B9">
      <w:pPr>
        <w:widowControl w:val="0"/>
        <w:spacing w:after="120" w:line="240" w:lineRule="auto"/>
        <w:jc w:val="center"/>
      </w:pPr>
    </w:p>
    <w:sectPr w:rsidR="00BD1E3A" w:rsidRPr="00BD1E3A" w:rsidSect="00D320B9">
      <w:type w:val="continuous"/>
      <w:pgSz w:w="11906" w:h="16838"/>
      <w:pgMar w:top="1440" w:right="1440" w:bottom="1440" w:left="1440" w:header="720" w:footer="720" w:gutter="0"/>
      <w:cols w:num="2"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E3A"/>
    <w:rsid w:val="000F34AC"/>
    <w:rsid w:val="002960D3"/>
    <w:rsid w:val="004D77B2"/>
    <w:rsid w:val="006E46D3"/>
    <w:rsid w:val="007E639D"/>
    <w:rsid w:val="008B522F"/>
    <w:rsid w:val="00BD1E3A"/>
    <w:rsid w:val="00D065B1"/>
    <w:rsid w:val="00D320B9"/>
    <w:rsid w:val="00FF59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22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D1E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320B9"/>
    <w:pPr>
      <w:ind w:left="720"/>
      <w:contextualSpacing/>
    </w:pPr>
  </w:style>
</w:styles>
</file>

<file path=word/webSettings.xml><?xml version="1.0" encoding="utf-8"?>
<w:webSettings xmlns:r="http://schemas.openxmlformats.org/officeDocument/2006/relationships" xmlns:w="http://schemas.openxmlformats.org/wordprocessingml/2006/main">
  <w:divs>
    <w:div w:id="320039847">
      <w:bodyDiv w:val="1"/>
      <w:marLeft w:val="0"/>
      <w:marRight w:val="0"/>
      <w:marTop w:val="0"/>
      <w:marBottom w:val="0"/>
      <w:divBdr>
        <w:top w:val="none" w:sz="0" w:space="0" w:color="auto"/>
        <w:left w:val="none" w:sz="0" w:space="0" w:color="auto"/>
        <w:bottom w:val="none" w:sz="0" w:space="0" w:color="auto"/>
        <w:right w:val="none" w:sz="0" w:space="0" w:color="auto"/>
      </w:divBdr>
    </w:div>
    <w:div w:id="12177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2013-06-13T11:55:00Z</dcterms:created>
  <dcterms:modified xsi:type="dcterms:W3CDTF">2013-06-16T13:26:00Z</dcterms:modified>
</cp:coreProperties>
</file>