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B06" w:rsidRPr="00732B91" w:rsidRDefault="007D3301" w:rsidP="002460EE">
      <w:pPr>
        <w:jc w:val="center"/>
        <w:rPr>
          <w:rFonts w:asciiTheme="majorBidi" w:hAnsiTheme="majorBidi" w:cstheme="majorBidi"/>
          <w:sz w:val="48"/>
          <w:szCs w:val="48"/>
          <w:rtl/>
        </w:rPr>
      </w:pPr>
      <w:r w:rsidRPr="00732B91">
        <w:rPr>
          <w:rFonts w:asciiTheme="majorBidi" w:eastAsia="Calibri" w:hAnsiTheme="majorBidi" w:cstheme="majorBidi"/>
          <w:sz w:val="48"/>
          <w:szCs w:val="48"/>
          <w:rtl/>
        </w:rPr>
        <w:t>حجيةُ إجماع العرب</w:t>
      </w:r>
    </w:p>
    <w:p w:rsidR="002460EE" w:rsidRDefault="003D7FD2" w:rsidP="002460EE">
      <w:pPr>
        <w:jc w:val="center"/>
        <w:rPr>
          <w:rFonts w:eastAsia="Times New Roman"/>
          <w:i/>
          <w:iCs/>
        </w:rPr>
      </w:pPr>
      <w:r>
        <w:rPr>
          <w:rFonts w:hint="cs"/>
          <w:rtl/>
        </w:rPr>
        <w:t>بحث فى النحو</w:t>
      </w:r>
      <w:r>
        <w:br/>
      </w:r>
      <w:proofErr w:type="spellStart"/>
      <w:r w:rsidR="002460EE">
        <w:rPr>
          <w:rFonts w:hint="cs"/>
          <w:i/>
          <w:iCs/>
          <w:rtl/>
        </w:rPr>
        <w:t>إعداد/</w:t>
      </w:r>
      <w:proofErr w:type="spellEnd"/>
      <w:r w:rsidR="002460EE">
        <w:rPr>
          <w:rFonts w:hint="cs"/>
          <w:i/>
          <w:iCs/>
          <w:rtl/>
        </w:rPr>
        <w:t xml:space="preserve"> د. وليد علي الطنطاوي</w:t>
      </w:r>
    </w:p>
    <w:p w:rsidR="002460EE" w:rsidRDefault="002460EE" w:rsidP="002460EE">
      <w:pPr>
        <w:bidi w:val="0"/>
        <w:jc w:val="center"/>
        <w:rPr>
          <w:rFonts w:eastAsia="SimSun"/>
          <w:i/>
          <w:iCs/>
          <w:sz w:val="20"/>
          <w:szCs w:val="20"/>
        </w:rPr>
      </w:pPr>
      <w:r>
        <w:rPr>
          <w:rFonts w:hint="cs"/>
          <w:i/>
          <w:iCs/>
          <w:rtl/>
        </w:rPr>
        <w:t>قسم اللغة العربية</w:t>
      </w:r>
    </w:p>
    <w:p w:rsidR="002460EE" w:rsidRDefault="002460EE" w:rsidP="002460EE">
      <w:pPr>
        <w:bidi w:val="0"/>
        <w:jc w:val="center"/>
        <w:rPr>
          <w:rFonts w:hint="cs"/>
          <w:i/>
          <w:iCs/>
          <w:rtl/>
        </w:rPr>
      </w:pPr>
      <w:proofErr w:type="gramStart"/>
      <w:r>
        <w:rPr>
          <w:rFonts w:hint="cs"/>
          <w:i/>
          <w:iCs/>
          <w:rtl/>
        </w:rPr>
        <w:t>كلية</w:t>
      </w:r>
      <w:proofErr w:type="gramEnd"/>
      <w:r>
        <w:rPr>
          <w:rFonts w:hint="cs"/>
          <w:i/>
          <w:iCs/>
          <w:rtl/>
        </w:rPr>
        <w:t xml:space="preserve"> اللغات </w:t>
      </w:r>
      <w:proofErr w:type="spellStart"/>
      <w:r>
        <w:rPr>
          <w:rFonts w:hint="cs"/>
          <w:i/>
          <w:iCs/>
          <w:rtl/>
        </w:rPr>
        <w:t>–</w:t>
      </w:r>
      <w:proofErr w:type="spellEnd"/>
      <w:r>
        <w:rPr>
          <w:rFonts w:hint="cs"/>
          <w:i/>
          <w:iCs/>
          <w:rtl/>
        </w:rPr>
        <w:t xml:space="preserve"> جامعة المدينة العالمية</w:t>
      </w:r>
    </w:p>
    <w:p w:rsidR="002460EE" w:rsidRDefault="002460EE" w:rsidP="002460EE">
      <w:pPr>
        <w:bidi w:val="0"/>
        <w:jc w:val="center"/>
        <w:rPr>
          <w:i/>
          <w:iCs/>
        </w:rPr>
      </w:pPr>
      <w:r>
        <w:rPr>
          <w:rFonts w:hint="cs"/>
          <w:i/>
          <w:iCs/>
          <w:rtl/>
        </w:rPr>
        <w:t xml:space="preserve">شاه علم </w:t>
      </w:r>
      <w:proofErr w:type="spellStart"/>
      <w:r>
        <w:rPr>
          <w:rFonts w:hint="cs"/>
          <w:i/>
          <w:iCs/>
          <w:rtl/>
        </w:rPr>
        <w:t>-</w:t>
      </w:r>
      <w:proofErr w:type="spellEnd"/>
      <w:r>
        <w:rPr>
          <w:rFonts w:hint="cs"/>
          <w:i/>
          <w:iCs/>
          <w:rtl/>
        </w:rPr>
        <w:t xml:space="preserve"> ماليزيا</w:t>
      </w:r>
    </w:p>
    <w:p w:rsidR="003D7FD2" w:rsidRPr="002460EE" w:rsidRDefault="002460EE" w:rsidP="002460EE">
      <w:pPr>
        <w:bidi w:val="0"/>
        <w:jc w:val="center"/>
        <w:rPr>
          <w:i/>
          <w:iCs/>
        </w:rPr>
      </w:pPr>
      <w:r>
        <w:rPr>
          <w:i/>
          <w:iCs/>
        </w:rPr>
        <w:t>waleed.eltantawy@mediu.edu.my</w:t>
      </w:r>
    </w:p>
    <w:p w:rsidR="00732B91" w:rsidRDefault="007D3301" w:rsidP="00732B91">
      <w:pPr>
        <w:spacing w:line="240" w:lineRule="auto"/>
        <w:rPr>
          <w:rFonts w:asciiTheme="majorBidi" w:hAnsiTheme="majorBidi" w:cstheme="majorBidi"/>
          <w:b/>
          <w:bCs/>
          <w:sz w:val="18"/>
          <w:szCs w:val="18"/>
          <w:rtl/>
        </w:rPr>
        <w:sectPr w:rsidR="00732B91" w:rsidSect="002460EE">
          <w:pgSz w:w="11906" w:h="16838"/>
          <w:pgMar w:top="709" w:right="1440" w:bottom="1440" w:left="1440" w:header="720" w:footer="720" w:gutter="0"/>
          <w:cols w:space="720"/>
          <w:bidi/>
          <w:rtlGutter/>
          <w:docGrid w:linePitch="360"/>
        </w:sectPr>
      </w:pPr>
      <w:r>
        <w:br/>
      </w:r>
    </w:p>
    <w:p w:rsidR="007D3301" w:rsidRPr="00732B91" w:rsidRDefault="007D3301" w:rsidP="00732B91">
      <w:pPr>
        <w:spacing w:line="240" w:lineRule="auto"/>
        <w:rPr>
          <w:rFonts w:asciiTheme="majorBidi" w:hAnsiTheme="majorBidi" w:cstheme="majorBidi"/>
          <w:b/>
          <w:bCs/>
          <w:sz w:val="18"/>
          <w:szCs w:val="18"/>
          <w:rtl/>
        </w:rPr>
      </w:pPr>
      <w:r w:rsidRPr="00732B91">
        <w:rPr>
          <w:rFonts w:asciiTheme="majorBidi" w:hAnsiTheme="majorBidi" w:cstheme="majorBidi"/>
          <w:b/>
          <w:bCs/>
          <w:sz w:val="18"/>
          <w:szCs w:val="18"/>
          <w:rtl/>
        </w:rPr>
        <w:lastRenderedPageBreak/>
        <w:t>الخلاصة – هذا البحث يبحث فى</w:t>
      </w:r>
      <w:r w:rsidR="00732B91" w:rsidRPr="00732B91">
        <w:rPr>
          <w:rFonts w:asciiTheme="majorBidi" w:eastAsia="Calibri" w:hAnsiTheme="majorBidi" w:cstheme="majorBidi"/>
          <w:b/>
          <w:bCs/>
          <w:sz w:val="18"/>
          <w:szCs w:val="18"/>
          <w:rtl/>
        </w:rPr>
        <w:t xml:space="preserve"> حجيةُ إجماع العرب</w:t>
      </w:r>
      <w:r w:rsidRPr="00732B91">
        <w:rPr>
          <w:rFonts w:asciiTheme="majorBidi" w:hAnsiTheme="majorBidi" w:cstheme="majorBidi"/>
          <w:b/>
          <w:bCs/>
          <w:sz w:val="18"/>
          <w:szCs w:val="18"/>
        </w:rPr>
        <w:br/>
      </w:r>
      <w:r w:rsidRPr="00732B91">
        <w:rPr>
          <w:rFonts w:asciiTheme="majorBidi" w:hAnsiTheme="majorBidi" w:cstheme="majorBidi"/>
          <w:b/>
          <w:bCs/>
          <w:sz w:val="18"/>
          <w:szCs w:val="18"/>
          <w:rtl/>
        </w:rPr>
        <w:t xml:space="preserve">الكلمات المفتاحية – </w:t>
      </w:r>
      <w:r w:rsidR="00732B91" w:rsidRPr="00732B91">
        <w:rPr>
          <w:rFonts w:asciiTheme="majorBidi" w:hAnsiTheme="majorBidi" w:cstheme="majorBidi"/>
          <w:b/>
          <w:bCs/>
          <w:sz w:val="18"/>
          <w:szCs w:val="18"/>
          <w:rtl/>
        </w:rPr>
        <w:t>الإجماع</w:t>
      </w:r>
      <w:r w:rsidR="00732B91">
        <w:rPr>
          <w:rFonts w:asciiTheme="majorBidi" w:hAnsiTheme="majorBidi" w:cstheme="majorBidi" w:hint="cs"/>
          <w:b/>
          <w:bCs/>
          <w:sz w:val="18"/>
          <w:szCs w:val="18"/>
          <w:rtl/>
        </w:rPr>
        <w:t>،</w:t>
      </w:r>
      <w:r w:rsidR="00732B91" w:rsidRPr="00732B91">
        <w:rPr>
          <w:rFonts w:asciiTheme="majorBidi" w:hAnsiTheme="majorBidi" w:cstheme="majorBidi"/>
          <w:b/>
          <w:bCs/>
          <w:sz w:val="18"/>
          <w:szCs w:val="18"/>
          <w:rtl/>
        </w:rPr>
        <w:t xml:space="preserve"> البصريين </w:t>
      </w:r>
      <w:r w:rsidRPr="00732B91">
        <w:rPr>
          <w:rFonts w:asciiTheme="majorBidi" w:hAnsiTheme="majorBidi" w:cstheme="majorBidi"/>
          <w:b/>
          <w:bCs/>
          <w:sz w:val="18"/>
          <w:szCs w:val="18"/>
          <w:rtl/>
        </w:rPr>
        <w:t xml:space="preserve">، </w:t>
      </w:r>
      <w:r w:rsidR="00732B91" w:rsidRPr="00732B91">
        <w:rPr>
          <w:rFonts w:asciiTheme="majorBidi" w:hAnsiTheme="majorBidi" w:cstheme="majorBidi"/>
          <w:b/>
          <w:bCs/>
          <w:sz w:val="18"/>
          <w:szCs w:val="18"/>
          <w:rtl/>
        </w:rPr>
        <w:t>الكوفيين</w:t>
      </w:r>
      <w:r w:rsidRPr="00732B91">
        <w:rPr>
          <w:rFonts w:asciiTheme="majorBidi" w:hAnsiTheme="majorBidi" w:cstheme="majorBidi"/>
          <w:b/>
          <w:bCs/>
          <w:sz w:val="18"/>
          <w:szCs w:val="18"/>
          <w:rtl/>
        </w:rPr>
        <w:t xml:space="preserve"> </w:t>
      </w:r>
    </w:p>
    <w:p w:rsidR="007D3301" w:rsidRPr="00732B91" w:rsidRDefault="007D3301" w:rsidP="00732B91">
      <w:pPr>
        <w:pStyle w:val="a3"/>
        <w:jc w:val="center"/>
        <w:rPr>
          <w:rFonts w:asciiTheme="majorBidi" w:hAnsiTheme="majorBidi" w:cstheme="majorBidi"/>
          <w:b/>
          <w:bCs/>
          <w:sz w:val="18"/>
          <w:szCs w:val="18"/>
          <w:lang w:bidi="ar-EG"/>
        </w:rPr>
      </w:pPr>
      <w:r w:rsidRPr="00732B91">
        <w:rPr>
          <w:rFonts w:asciiTheme="majorBidi" w:hAnsiTheme="majorBidi" w:cstheme="majorBidi"/>
          <w:b/>
          <w:bCs/>
          <w:sz w:val="18"/>
          <w:szCs w:val="18"/>
          <w:rtl/>
        </w:rPr>
        <w:t>المقدمة</w:t>
      </w:r>
      <w:r w:rsidRPr="00732B91">
        <w:rPr>
          <w:rFonts w:asciiTheme="majorBidi" w:hAnsiTheme="majorBidi" w:cstheme="majorBidi"/>
          <w:b/>
          <w:bCs/>
          <w:sz w:val="18"/>
          <w:szCs w:val="18"/>
          <w:lang w:bidi="ar-EG"/>
        </w:rPr>
        <w:t>.I</w:t>
      </w:r>
    </w:p>
    <w:p w:rsidR="00732B91" w:rsidRPr="00732B91" w:rsidRDefault="007D3301" w:rsidP="00732B91">
      <w:pPr>
        <w:spacing w:line="240" w:lineRule="auto"/>
        <w:rPr>
          <w:rFonts w:asciiTheme="majorBidi" w:hAnsiTheme="majorBidi" w:cstheme="majorBidi"/>
          <w:b/>
          <w:bCs/>
          <w:sz w:val="18"/>
          <w:szCs w:val="18"/>
          <w:rtl/>
        </w:rPr>
      </w:pPr>
      <w:r w:rsidRPr="00732B91">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732B91" w:rsidRPr="00732B91">
        <w:rPr>
          <w:rFonts w:asciiTheme="majorBidi" w:eastAsia="Calibri" w:hAnsiTheme="majorBidi" w:cstheme="majorBidi"/>
          <w:b/>
          <w:bCs/>
          <w:sz w:val="18"/>
          <w:szCs w:val="18"/>
          <w:rtl/>
        </w:rPr>
        <w:t>حجيةُ إجماع العرب</w:t>
      </w:r>
    </w:p>
    <w:p w:rsidR="00123B51" w:rsidRPr="00732B91" w:rsidRDefault="00123B51" w:rsidP="003D7FD2">
      <w:pPr>
        <w:pStyle w:val="a3"/>
        <w:jc w:val="center"/>
        <w:rPr>
          <w:rFonts w:asciiTheme="majorBidi" w:hAnsiTheme="majorBidi" w:cstheme="majorBidi"/>
          <w:b/>
          <w:bCs/>
          <w:sz w:val="18"/>
          <w:szCs w:val="18"/>
        </w:rPr>
      </w:pPr>
      <w:r w:rsidRPr="00732B91">
        <w:rPr>
          <w:rFonts w:asciiTheme="majorBidi" w:hAnsiTheme="majorBidi" w:cstheme="majorBidi"/>
          <w:b/>
          <w:bCs/>
          <w:sz w:val="18"/>
          <w:szCs w:val="18"/>
          <w:rtl/>
        </w:rPr>
        <w:t>.</w:t>
      </w:r>
      <w:r w:rsidR="003D7FD2">
        <w:rPr>
          <w:rFonts w:asciiTheme="majorBidi" w:hAnsiTheme="majorBidi" w:cstheme="majorBidi" w:hint="cs"/>
          <w:b/>
          <w:bCs/>
          <w:sz w:val="18"/>
          <w:szCs w:val="18"/>
          <w:rtl/>
        </w:rPr>
        <w:t>موضوع</w:t>
      </w:r>
      <w:r w:rsidRPr="00732B91">
        <w:rPr>
          <w:rFonts w:asciiTheme="majorBidi" w:hAnsiTheme="majorBidi" w:cstheme="majorBidi"/>
          <w:b/>
          <w:bCs/>
          <w:sz w:val="18"/>
          <w:szCs w:val="18"/>
          <w:rtl/>
        </w:rPr>
        <w:t xml:space="preserve"> المقال</w:t>
      </w:r>
      <w:r w:rsidRPr="00732B91">
        <w:rPr>
          <w:rFonts w:asciiTheme="majorBidi" w:hAnsiTheme="majorBidi" w:cstheme="majorBidi"/>
          <w:b/>
          <w:bCs/>
          <w:sz w:val="18"/>
          <w:szCs w:val="18"/>
        </w:rPr>
        <w:t>II</w:t>
      </w:r>
    </w:p>
    <w:p w:rsidR="007D3301" w:rsidRPr="00732B91" w:rsidRDefault="007D3301" w:rsidP="00732B91">
      <w:pPr>
        <w:pStyle w:val="a3"/>
        <w:bidi/>
        <w:spacing w:before="0" w:beforeAutospacing="0" w:after="120" w:afterAutospacing="0"/>
        <w:jc w:val="lowKashida"/>
        <w:rPr>
          <w:rFonts w:asciiTheme="majorBidi" w:hAnsiTheme="majorBidi" w:cstheme="majorBidi"/>
          <w:b/>
          <w:bCs/>
          <w:sz w:val="18"/>
          <w:szCs w:val="18"/>
        </w:rPr>
      </w:pPr>
      <w:r w:rsidRPr="00732B91">
        <w:rPr>
          <w:rFonts w:asciiTheme="majorBidi" w:hAnsiTheme="majorBidi" w:cstheme="majorBidi"/>
          <w:b/>
          <w:bCs/>
          <w:sz w:val="18"/>
          <w:szCs w:val="18"/>
          <w:rtl/>
        </w:rPr>
        <w:t>سبق أن أشرنا إلى أن الإجماع في اصطلاح النحويين يراد به أحد أمرين:</w:t>
      </w:r>
    </w:p>
    <w:p w:rsidR="007D3301" w:rsidRPr="00732B91" w:rsidRDefault="007D3301" w:rsidP="00732B91">
      <w:pPr>
        <w:pStyle w:val="a3"/>
        <w:bidi/>
        <w:spacing w:before="0" w:beforeAutospacing="0" w:after="120" w:afterAutospacing="0"/>
        <w:jc w:val="lowKashida"/>
        <w:rPr>
          <w:rFonts w:asciiTheme="majorBidi" w:hAnsiTheme="majorBidi" w:cstheme="majorBidi"/>
          <w:b/>
          <w:bCs/>
          <w:sz w:val="18"/>
          <w:szCs w:val="18"/>
        </w:rPr>
      </w:pPr>
      <w:r w:rsidRPr="00732B91">
        <w:rPr>
          <w:rFonts w:asciiTheme="majorBidi" w:hAnsiTheme="majorBidi" w:cstheme="majorBidi"/>
          <w:b/>
          <w:bCs/>
          <w:sz w:val="18"/>
          <w:szCs w:val="18"/>
          <w:rtl/>
        </w:rPr>
        <w:t>أحدهما: إجماع النحاة من البصريين والكوفيين، وقد سبق الحديث عنه.</w:t>
      </w:r>
    </w:p>
    <w:p w:rsidR="007D3301" w:rsidRPr="00732B91" w:rsidRDefault="007D3301" w:rsidP="00732B91">
      <w:pPr>
        <w:pStyle w:val="a3"/>
        <w:bidi/>
        <w:spacing w:before="0" w:beforeAutospacing="0" w:after="120" w:afterAutospacing="0"/>
        <w:jc w:val="lowKashida"/>
        <w:rPr>
          <w:rFonts w:asciiTheme="majorBidi" w:hAnsiTheme="majorBidi" w:cstheme="majorBidi"/>
          <w:b/>
          <w:bCs/>
          <w:sz w:val="18"/>
          <w:szCs w:val="18"/>
        </w:rPr>
      </w:pPr>
      <w:r w:rsidRPr="00732B91">
        <w:rPr>
          <w:rFonts w:asciiTheme="majorBidi" w:hAnsiTheme="majorBidi" w:cstheme="majorBidi"/>
          <w:b/>
          <w:bCs/>
          <w:sz w:val="18"/>
          <w:szCs w:val="18"/>
          <w:rtl/>
        </w:rPr>
        <w:t>الآخر: إجماع العرب.</w:t>
      </w:r>
    </w:p>
    <w:p w:rsidR="007D3301" w:rsidRPr="00732B91" w:rsidRDefault="007D3301" w:rsidP="00732B91">
      <w:pPr>
        <w:pStyle w:val="a3"/>
        <w:bidi/>
        <w:spacing w:before="0" w:beforeAutospacing="0" w:after="120" w:afterAutospacing="0"/>
        <w:jc w:val="lowKashida"/>
        <w:rPr>
          <w:rFonts w:asciiTheme="majorBidi" w:hAnsiTheme="majorBidi" w:cstheme="majorBidi"/>
          <w:b/>
          <w:bCs/>
          <w:sz w:val="18"/>
          <w:szCs w:val="18"/>
        </w:rPr>
      </w:pPr>
      <w:r w:rsidRPr="00732B91">
        <w:rPr>
          <w:rFonts w:asciiTheme="majorBidi" w:hAnsiTheme="majorBidi" w:cstheme="majorBidi"/>
          <w:b/>
          <w:bCs/>
          <w:sz w:val="18"/>
          <w:szCs w:val="18"/>
          <w:rtl/>
        </w:rPr>
        <w:t>وإذا كان الخلاف قد وقع بين العلماء في حجية إجماع النحاة؛ فإنه ليس بين العلماء خلاف في حجية إجماع العرب؛ فإجماعهم حجة عند الجميع؛ لأن الله تعالى صان ألسنتهم عن الخطأ في التعبير وصانهم عن الإقرار على الخطأ والتغيير.</w:t>
      </w:r>
    </w:p>
    <w:p w:rsidR="007D3301" w:rsidRPr="00732B91" w:rsidRDefault="007D3301" w:rsidP="00732B91">
      <w:pPr>
        <w:pStyle w:val="a3"/>
        <w:bidi/>
        <w:spacing w:before="0" w:beforeAutospacing="0" w:after="120" w:afterAutospacing="0"/>
        <w:jc w:val="lowKashida"/>
        <w:rPr>
          <w:rFonts w:asciiTheme="majorBidi" w:hAnsiTheme="majorBidi" w:cstheme="majorBidi"/>
          <w:b/>
          <w:bCs/>
          <w:sz w:val="18"/>
          <w:szCs w:val="18"/>
        </w:rPr>
      </w:pPr>
      <w:r w:rsidRPr="00732B91">
        <w:rPr>
          <w:rFonts w:asciiTheme="majorBidi" w:hAnsiTheme="majorBidi" w:cstheme="majorBidi"/>
          <w:b/>
          <w:bCs/>
          <w:sz w:val="18"/>
          <w:szCs w:val="18"/>
          <w:rtl/>
        </w:rPr>
        <w:t>يقول السيوطي: وإجماع العرب أيضًا حجة".</w:t>
      </w:r>
    </w:p>
    <w:p w:rsidR="007D3301" w:rsidRPr="00732B91" w:rsidRDefault="007D3301" w:rsidP="00732B91">
      <w:pPr>
        <w:pStyle w:val="a3"/>
        <w:bidi/>
        <w:spacing w:before="0" w:beforeAutospacing="0" w:after="120" w:afterAutospacing="0"/>
        <w:jc w:val="lowKashida"/>
        <w:rPr>
          <w:rFonts w:asciiTheme="majorBidi" w:hAnsiTheme="majorBidi" w:cstheme="majorBidi"/>
          <w:b/>
          <w:bCs/>
          <w:sz w:val="18"/>
          <w:szCs w:val="18"/>
        </w:rPr>
      </w:pPr>
      <w:r w:rsidRPr="00732B91">
        <w:rPr>
          <w:rFonts w:asciiTheme="majorBidi" w:hAnsiTheme="majorBidi" w:cstheme="majorBidi"/>
          <w:b/>
          <w:bCs/>
          <w:sz w:val="18"/>
          <w:szCs w:val="18"/>
          <w:rtl/>
        </w:rPr>
        <w:t>وقوله: "أيضًا" معناه: أنه يرى أن إجماع النحويين حجة خلافًا لمن أسقطه من أدلة الاحتجاج، ويدل على أن هذا هو رأيه قوله في أول (الاقتراح): "وقد تحصل مما ذكراه -يعني: مما ذكره ابن جني والأنباري- أربعة، وقد عقدت لها أربعة كتب". انتهى.</w:t>
      </w:r>
    </w:p>
    <w:p w:rsidR="007D3301" w:rsidRPr="00732B91" w:rsidRDefault="007D3301" w:rsidP="00732B91">
      <w:pPr>
        <w:pStyle w:val="a3"/>
        <w:bidi/>
        <w:spacing w:before="0" w:beforeAutospacing="0" w:after="120" w:afterAutospacing="0"/>
        <w:jc w:val="lowKashida"/>
        <w:rPr>
          <w:rFonts w:asciiTheme="majorBidi" w:hAnsiTheme="majorBidi" w:cstheme="majorBidi"/>
          <w:b/>
          <w:bCs/>
          <w:sz w:val="18"/>
          <w:szCs w:val="18"/>
        </w:rPr>
      </w:pPr>
      <w:r w:rsidRPr="00732B91">
        <w:rPr>
          <w:rFonts w:asciiTheme="majorBidi" w:hAnsiTheme="majorBidi" w:cstheme="majorBidi"/>
          <w:b/>
          <w:bCs/>
          <w:sz w:val="18"/>
          <w:szCs w:val="18"/>
          <w:rtl/>
        </w:rPr>
        <w:t>وقد استبعد السيوطي وقوع هذا الإجماع من العرب؛ فقال: أنى لنا بالوقوف عليه.</w:t>
      </w:r>
    </w:p>
    <w:p w:rsidR="007D3301" w:rsidRPr="00732B91" w:rsidRDefault="007D3301" w:rsidP="00732B91">
      <w:pPr>
        <w:pStyle w:val="a3"/>
        <w:bidi/>
        <w:spacing w:before="0" w:beforeAutospacing="0" w:after="120" w:afterAutospacing="0"/>
        <w:jc w:val="lowKashida"/>
        <w:rPr>
          <w:rFonts w:asciiTheme="majorBidi" w:hAnsiTheme="majorBidi" w:cstheme="majorBidi"/>
          <w:b/>
          <w:bCs/>
          <w:sz w:val="18"/>
          <w:szCs w:val="18"/>
        </w:rPr>
      </w:pPr>
      <w:r w:rsidRPr="00732B91">
        <w:rPr>
          <w:rFonts w:asciiTheme="majorBidi" w:hAnsiTheme="majorBidi" w:cstheme="majorBidi"/>
          <w:b/>
          <w:bCs/>
          <w:sz w:val="18"/>
          <w:szCs w:val="18"/>
          <w:rtl/>
        </w:rPr>
        <w:t>ومعنى ما قاله السيوطي: أن حصول إجماع العرب والظفر به شيء مستبعد؛ لا يوصل إليه إلا بمشقة عظيمة.</w:t>
      </w:r>
    </w:p>
    <w:p w:rsidR="007D3301" w:rsidRPr="00732B91" w:rsidRDefault="007D3301" w:rsidP="00732B91">
      <w:pPr>
        <w:pStyle w:val="a3"/>
        <w:bidi/>
        <w:spacing w:before="0" w:beforeAutospacing="0" w:after="120" w:afterAutospacing="0"/>
        <w:jc w:val="lowKashida"/>
        <w:rPr>
          <w:rFonts w:asciiTheme="majorBidi" w:hAnsiTheme="majorBidi" w:cstheme="majorBidi"/>
          <w:b/>
          <w:bCs/>
          <w:sz w:val="18"/>
          <w:szCs w:val="18"/>
        </w:rPr>
      </w:pPr>
      <w:r w:rsidRPr="00732B91">
        <w:rPr>
          <w:rFonts w:asciiTheme="majorBidi" w:hAnsiTheme="majorBidi" w:cstheme="majorBidi"/>
          <w:b/>
          <w:bCs/>
          <w:sz w:val="18"/>
          <w:szCs w:val="18"/>
          <w:rtl/>
        </w:rPr>
        <w:t>ومن صور إجماع العرب: ما يعرف بالإجماع السكوتي، وهو الذي عرفه السيوطي بقوله: أن يتكلم العربي بشيء ويبلغهم ويسكتون عليه، أي: وهم يسكتون عليه. انتهى.</w:t>
      </w:r>
    </w:p>
    <w:p w:rsidR="007D3301" w:rsidRPr="00732B91" w:rsidRDefault="007D3301" w:rsidP="00732B91">
      <w:pPr>
        <w:pStyle w:val="a3"/>
        <w:bidi/>
        <w:spacing w:before="0" w:beforeAutospacing="0"/>
        <w:jc w:val="lowKashida"/>
        <w:rPr>
          <w:rFonts w:asciiTheme="majorBidi" w:hAnsiTheme="majorBidi" w:cstheme="majorBidi"/>
          <w:b/>
          <w:bCs/>
          <w:sz w:val="18"/>
          <w:szCs w:val="18"/>
          <w:rtl/>
        </w:rPr>
      </w:pPr>
      <w:r w:rsidRPr="00732B91">
        <w:rPr>
          <w:rFonts w:asciiTheme="majorBidi" w:hAnsiTheme="majorBidi" w:cstheme="majorBidi"/>
          <w:b/>
          <w:bCs/>
          <w:sz w:val="18"/>
          <w:szCs w:val="18"/>
          <w:rtl/>
        </w:rPr>
        <w:t>ففي سكوت العرب عما بلغهم إجماع منهم على جوازه، وهو الإجماع المعروف عند الفقهاء بالإجماع السكوتي، وقد عده كثير من الفقهاء معتبرًا كالإجماع القولي، وقد أراد السيوطي -رحمه الله- إثبات الإجماع السكوتي في اللغة؛ فنقل عن ابن مالك قوله في (شرح التسهيل): "استدل على جواز توسيط خبر "ما" الحجازية ونصبه بقوله الفرزدق:</w:t>
      </w:r>
    </w:p>
    <w:tbl>
      <w:tblPr>
        <w:bidiVisual/>
        <w:tblW w:w="0" w:type="auto"/>
        <w:jc w:val="center"/>
        <w:tblLook w:val="01E0"/>
      </w:tblPr>
      <w:tblGrid>
        <w:gridCol w:w="1952"/>
        <w:gridCol w:w="533"/>
        <w:gridCol w:w="1884"/>
      </w:tblGrid>
      <w:tr w:rsidR="007D3301" w:rsidRPr="00732B91" w:rsidTr="00714CC1">
        <w:trPr>
          <w:trHeight w:hRule="exact" w:val="510"/>
          <w:jc w:val="center"/>
        </w:trPr>
        <w:tc>
          <w:tcPr>
            <w:tcW w:w="2909" w:type="dxa"/>
            <w:vAlign w:val="center"/>
          </w:tcPr>
          <w:p w:rsidR="007D3301" w:rsidRPr="00732B91" w:rsidRDefault="007D3301" w:rsidP="00732B91">
            <w:pPr>
              <w:spacing w:after="120" w:line="240" w:lineRule="auto"/>
              <w:jc w:val="both"/>
              <w:rPr>
                <w:rFonts w:asciiTheme="majorBidi" w:hAnsiTheme="majorBidi" w:cstheme="majorBidi"/>
                <w:b/>
                <w:bCs/>
                <w:sz w:val="18"/>
                <w:szCs w:val="18"/>
                <w:rtl/>
              </w:rPr>
            </w:pPr>
            <w:r w:rsidRPr="00732B91">
              <w:rPr>
                <w:rFonts w:asciiTheme="majorBidi" w:eastAsia="Calibri" w:hAnsiTheme="majorBidi" w:cstheme="majorBidi"/>
                <w:b/>
                <w:bCs/>
                <w:sz w:val="18"/>
                <w:szCs w:val="18"/>
                <w:rtl/>
                <w:lang w:eastAsia="en-MY"/>
              </w:rPr>
              <w:t>فأصبحوا قد أعاد الله نعمتهم</w:t>
            </w:r>
            <w:r w:rsidRPr="00732B91">
              <w:rPr>
                <w:rFonts w:asciiTheme="majorBidi" w:eastAsia="Calibri" w:hAnsiTheme="majorBidi" w:cstheme="majorBidi"/>
                <w:b/>
                <w:bCs/>
                <w:sz w:val="18"/>
                <w:szCs w:val="18"/>
                <w:rtl/>
                <w:lang w:eastAsia="en-MY"/>
              </w:rPr>
              <w:br/>
            </w:r>
          </w:p>
        </w:tc>
        <w:tc>
          <w:tcPr>
            <w:tcW w:w="709" w:type="dxa"/>
            <w:vAlign w:val="center"/>
          </w:tcPr>
          <w:p w:rsidR="007D3301" w:rsidRPr="00732B91" w:rsidRDefault="007D3301" w:rsidP="00732B91">
            <w:pPr>
              <w:spacing w:after="120" w:line="240" w:lineRule="auto"/>
              <w:jc w:val="center"/>
              <w:rPr>
                <w:rFonts w:asciiTheme="majorBidi" w:hAnsiTheme="majorBidi" w:cstheme="majorBidi"/>
                <w:b/>
                <w:bCs/>
                <w:sz w:val="18"/>
                <w:szCs w:val="18"/>
                <w:rtl/>
              </w:rPr>
            </w:pPr>
            <w:r w:rsidRPr="00732B91">
              <w:rPr>
                <w:rFonts w:asciiTheme="majorBidi" w:hAnsiTheme="majorBidi" w:cstheme="majorBidi"/>
                <w:b/>
                <w:bCs/>
                <w:sz w:val="18"/>
                <w:szCs w:val="18"/>
                <w:rtl/>
              </w:rPr>
              <w:t>*</w:t>
            </w:r>
          </w:p>
        </w:tc>
        <w:tc>
          <w:tcPr>
            <w:tcW w:w="2909" w:type="dxa"/>
            <w:vAlign w:val="center"/>
          </w:tcPr>
          <w:p w:rsidR="007D3301" w:rsidRPr="00732B91" w:rsidRDefault="007D3301" w:rsidP="00732B91">
            <w:pPr>
              <w:spacing w:after="120" w:line="240" w:lineRule="auto"/>
              <w:jc w:val="both"/>
              <w:rPr>
                <w:rFonts w:asciiTheme="majorBidi" w:eastAsia="Calibri" w:hAnsiTheme="majorBidi" w:cstheme="majorBidi"/>
                <w:b/>
                <w:bCs/>
                <w:sz w:val="18"/>
                <w:szCs w:val="18"/>
                <w:lang w:eastAsia="en-MY"/>
              </w:rPr>
            </w:pPr>
            <w:r w:rsidRPr="00732B91">
              <w:rPr>
                <w:rFonts w:asciiTheme="majorBidi" w:eastAsia="Calibri" w:hAnsiTheme="majorBidi" w:cstheme="majorBidi"/>
                <w:b/>
                <w:bCs/>
                <w:sz w:val="18"/>
                <w:szCs w:val="18"/>
                <w:rtl/>
                <w:lang w:eastAsia="en-MY"/>
              </w:rPr>
              <w:t>إذ هم قريش وإذ ما مثلهم بشر</w:t>
            </w:r>
            <w:r w:rsidRPr="00732B91">
              <w:rPr>
                <w:rFonts w:asciiTheme="majorBidi" w:eastAsia="Calibri" w:hAnsiTheme="majorBidi" w:cstheme="majorBidi"/>
                <w:b/>
                <w:bCs/>
                <w:sz w:val="18"/>
                <w:szCs w:val="18"/>
                <w:rtl/>
                <w:lang w:eastAsia="en-MY"/>
              </w:rPr>
              <w:br/>
            </w:r>
          </w:p>
        </w:tc>
      </w:tr>
    </w:tbl>
    <w:p w:rsidR="007D3301" w:rsidRPr="00732B91" w:rsidRDefault="007D3301" w:rsidP="00732B91">
      <w:pPr>
        <w:pStyle w:val="a3"/>
        <w:bidi/>
        <w:spacing w:before="0" w:beforeAutospacing="0" w:after="120" w:afterAutospacing="0"/>
        <w:jc w:val="lowKashida"/>
        <w:rPr>
          <w:rFonts w:asciiTheme="majorBidi" w:hAnsiTheme="majorBidi" w:cstheme="majorBidi"/>
          <w:b/>
          <w:bCs/>
          <w:sz w:val="18"/>
          <w:szCs w:val="18"/>
        </w:rPr>
      </w:pPr>
      <w:r w:rsidRPr="00732B91">
        <w:rPr>
          <w:rFonts w:asciiTheme="majorBidi" w:hAnsiTheme="majorBidi" w:cstheme="majorBidi"/>
          <w:b/>
          <w:bCs/>
          <w:sz w:val="18"/>
          <w:szCs w:val="18"/>
          <w:rtl/>
        </w:rPr>
        <w:t>ورد المانعون بأن الفرزدق تميمي تكلم بهذا معتقدًا جوازه عند الحجازيين؛ فلم يصب.</w:t>
      </w:r>
    </w:p>
    <w:p w:rsidR="007D3301" w:rsidRPr="00732B91" w:rsidRDefault="007D3301" w:rsidP="00732B91">
      <w:pPr>
        <w:pStyle w:val="a3"/>
        <w:bidi/>
        <w:spacing w:before="0" w:beforeAutospacing="0" w:after="120" w:afterAutospacing="0"/>
        <w:jc w:val="lowKashida"/>
        <w:rPr>
          <w:rFonts w:asciiTheme="majorBidi" w:hAnsiTheme="majorBidi" w:cstheme="majorBidi"/>
          <w:b/>
          <w:bCs/>
          <w:spacing w:val="-6"/>
          <w:sz w:val="18"/>
          <w:szCs w:val="18"/>
        </w:rPr>
      </w:pPr>
      <w:r w:rsidRPr="00732B91">
        <w:rPr>
          <w:rFonts w:asciiTheme="majorBidi" w:hAnsiTheme="majorBidi" w:cstheme="majorBidi"/>
          <w:b/>
          <w:bCs/>
          <w:spacing w:val="-6"/>
          <w:sz w:val="18"/>
          <w:szCs w:val="18"/>
          <w:rtl/>
        </w:rPr>
        <w:t xml:space="preserve">ويجاب: بأن الفرزدق كان له أضداد من الحجازيين والتميميين، ومن مناهم أن يظفروا له بزلة يشنعون بها عليه؛ مبادرين لتخطئته، ولو جرى شيء من ذلك لنقل؛ لتوافر الدواعي على التحدث بمثل ذلك إذا اتفق؛ ففي عدم نقل ذلك عنه دليل </w:t>
      </w:r>
      <w:r w:rsidRPr="00732B91">
        <w:rPr>
          <w:rFonts w:asciiTheme="majorBidi" w:hAnsiTheme="majorBidi" w:cstheme="majorBidi"/>
          <w:b/>
          <w:bCs/>
          <w:spacing w:val="-6"/>
          <w:sz w:val="18"/>
          <w:szCs w:val="18"/>
          <w:rtl/>
        </w:rPr>
        <w:lastRenderedPageBreak/>
        <w:t>على إجماع أضداد الحجازيين والتميميين على تصويب قوله". انتهى كلام ابن مالك.</w:t>
      </w:r>
    </w:p>
    <w:p w:rsidR="007D3301" w:rsidRPr="00732B91" w:rsidRDefault="007D3301" w:rsidP="00732B91">
      <w:pPr>
        <w:pStyle w:val="a3"/>
        <w:bidi/>
        <w:spacing w:before="0" w:beforeAutospacing="0" w:after="120" w:afterAutospacing="0"/>
        <w:jc w:val="lowKashida"/>
        <w:rPr>
          <w:rFonts w:asciiTheme="majorBidi" w:hAnsiTheme="majorBidi" w:cstheme="majorBidi"/>
          <w:b/>
          <w:bCs/>
          <w:sz w:val="18"/>
          <w:szCs w:val="18"/>
        </w:rPr>
      </w:pPr>
      <w:r w:rsidRPr="00732B91">
        <w:rPr>
          <w:rFonts w:asciiTheme="majorBidi" w:hAnsiTheme="majorBidi" w:cstheme="majorBidi"/>
          <w:b/>
          <w:bCs/>
          <w:sz w:val="18"/>
          <w:szCs w:val="18"/>
          <w:rtl/>
        </w:rPr>
        <w:t>ونقف في هذا النص على قضيتين تتعلق إحداهما بعلم النحو وتتعلق الأخرى بأصول النحو:</w:t>
      </w:r>
    </w:p>
    <w:p w:rsidR="007D3301" w:rsidRPr="00732B91" w:rsidRDefault="007D3301" w:rsidP="00732B91">
      <w:pPr>
        <w:pStyle w:val="a3"/>
        <w:bidi/>
        <w:spacing w:before="0" w:beforeAutospacing="0" w:after="120" w:afterAutospacing="0"/>
        <w:jc w:val="lowKashida"/>
        <w:rPr>
          <w:rFonts w:asciiTheme="majorBidi" w:hAnsiTheme="majorBidi" w:cstheme="majorBidi"/>
          <w:b/>
          <w:bCs/>
          <w:sz w:val="18"/>
          <w:szCs w:val="18"/>
        </w:rPr>
      </w:pPr>
      <w:r w:rsidRPr="00732B91">
        <w:rPr>
          <w:rFonts w:asciiTheme="majorBidi" w:hAnsiTheme="majorBidi" w:cstheme="majorBidi"/>
          <w:b/>
          <w:bCs/>
          <w:sz w:val="18"/>
          <w:szCs w:val="18"/>
          <w:rtl/>
        </w:rPr>
        <w:t xml:space="preserve">أما الأولى: فهي نصب خبر "ما" الحجازية إذا تقدم على اسمها؛ فمن المقرر في علم النحو: أنه يشترط في إعمال "ما" عمل "ليس" في لغة أهل الحجاز شروط؛ منها: بقاء الترتيب بين الناسخ واسمه وخبره بألا يتقدم خبرها على اسمها نحو: ما زيدٌ قائمًا؛ فإن تقدم الخبر على الاسم بطل إعمال "ما"؛ فيقال: ما قائمٌ زيدٌ، بالرفع، وقد أعمل الفرزدق -وهو تميمي- "ما" عمل "ليس" مع توسط الخبر بين الناسخ واسمه، وهو أمر لا يكاد يعرف -كما قال سيبويه في (الكتاب). </w:t>
      </w:r>
    </w:p>
    <w:p w:rsidR="007D3301" w:rsidRPr="00732B91" w:rsidRDefault="007D3301" w:rsidP="00732B91">
      <w:pPr>
        <w:pStyle w:val="a3"/>
        <w:bidi/>
        <w:spacing w:before="0" w:beforeAutospacing="0" w:after="120" w:afterAutospacing="0"/>
        <w:jc w:val="lowKashida"/>
        <w:rPr>
          <w:rFonts w:asciiTheme="majorBidi" w:hAnsiTheme="majorBidi" w:cstheme="majorBidi"/>
          <w:b/>
          <w:bCs/>
          <w:sz w:val="18"/>
          <w:szCs w:val="18"/>
        </w:rPr>
      </w:pPr>
      <w:r w:rsidRPr="00732B91">
        <w:rPr>
          <w:rFonts w:asciiTheme="majorBidi" w:hAnsiTheme="majorBidi" w:cstheme="majorBidi"/>
          <w:b/>
          <w:bCs/>
          <w:sz w:val="18"/>
          <w:szCs w:val="18"/>
          <w:rtl/>
        </w:rPr>
        <w:t>وتسلمنا هذه القضية النحوية إلى القضية الثانية الأصولية: وهي أن العرب الذين سمعوا الفرزدق لم ينكروا عليه هذا القول؛ فأخذ من إقرار سامعيه وعدم إنكارهم عليه أنه إجماع سكوتي تقوم به الحجة على جواز مثل هذا التركيب، وذكر بعض النحاة أنه ليس في كلام الفرزدق دليل على جواز هذا التركيب؛ لأن الفرزدق من بني تميم وهم يهملون "ما" مطلقًا، وقد أراد أن يتكلم بلغة الحجازيين -أي: بإعمال "ما"- فغفل عن شرط عملها -وهو مراعاة الترتيب- فأخطأ في التعبير، فما في كلامه خطأ لا يستدل به.</w:t>
      </w:r>
    </w:p>
    <w:p w:rsidR="007D3301" w:rsidRPr="00732B91" w:rsidRDefault="007D3301" w:rsidP="00732B91">
      <w:pPr>
        <w:pStyle w:val="a3"/>
        <w:bidi/>
        <w:spacing w:before="0" w:beforeAutospacing="0" w:after="120" w:afterAutospacing="0"/>
        <w:jc w:val="lowKashida"/>
        <w:rPr>
          <w:rFonts w:asciiTheme="majorBidi" w:hAnsiTheme="majorBidi" w:cstheme="majorBidi"/>
          <w:b/>
          <w:bCs/>
          <w:sz w:val="18"/>
          <w:szCs w:val="18"/>
        </w:rPr>
      </w:pPr>
      <w:r w:rsidRPr="00732B91">
        <w:rPr>
          <w:rFonts w:asciiTheme="majorBidi" w:hAnsiTheme="majorBidi" w:cstheme="majorBidi"/>
          <w:b/>
          <w:bCs/>
          <w:sz w:val="18"/>
          <w:szCs w:val="18"/>
          <w:rtl/>
        </w:rPr>
        <w:t>هذا حاصل ما ذكره المانعون، وقد رده ابن مالك بما سبق ذكره.</w:t>
      </w:r>
    </w:p>
    <w:p w:rsidR="007D3301" w:rsidRPr="00732B91" w:rsidRDefault="007D3301" w:rsidP="00732B91">
      <w:pPr>
        <w:pStyle w:val="a3"/>
        <w:bidi/>
        <w:spacing w:before="0" w:beforeAutospacing="0" w:after="120" w:afterAutospacing="0"/>
        <w:jc w:val="lowKashida"/>
        <w:rPr>
          <w:rFonts w:asciiTheme="majorBidi" w:hAnsiTheme="majorBidi" w:cstheme="majorBidi"/>
          <w:b/>
          <w:bCs/>
          <w:sz w:val="18"/>
          <w:szCs w:val="18"/>
        </w:rPr>
      </w:pPr>
      <w:r w:rsidRPr="00732B91">
        <w:rPr>
          <w:rFonts w:asciiTheme="majorBidi" w:hAnsiTheme="majorBidi" w:cstheme="majorBidi"/>
          <w:b/>
          <w:bCs/>
          <w:sz w:val="18"/>
          <w:szCs w:val="18"/>
          <w:rtl/>
        </w:rPr>
        <w:t>وقد ساق السيوطي كلام ابن مالك -رحمه الله- ليستدل به على إثبات الإجماع السكوتي، وتحقيق الأمر: أن ليس فيما ذكر دليل على هذا الإجماع؛ إذ لا يلزم من سكوتهم جواز ما ذكر؛ لأن في البيت تخريجات أخرى يحسن بنا أن نذكرها إتمامًا للفائدة، وردًّا على السيوطي في دعواه:</w:t>
      </w:r>
    </w:p>
    <w:p w:rsidR="007D3301" w:rsidRPr="00732B91" w:rsidRDefault="007D3301" w:rsidP="00732B91">
      <w:pPr>
        <w:pStyle w:val="a3"/>
        <w:bidi/>
        <w:spacing w:before="0" w:beforeAutospacing="0" w:after="120" w:afterAutospacing="0"/>
        <w:jc w:val="lowKashida"/>
        <w:rPr>
          <w:rFonts w:asciiTheme="majorBidi" w:hAnsiTheme="majorBidi" w:cstheme="majorBidi"/>
          <w:b/>
          <w:bCs/>
          <w:sz w:val="18"/>
          <w:szCs w:val="18"/>
        </w:rPr>
      </w:pPr>
      <w:r w:rsidRPr="00732B91">
        <w:rPr>
          <w:rFonts w:asciiTheme="majorBidi" w:hAnsiTheme="majorBidi" w:cstheme="majorBidi"/>
          <w:b/>
          <w:bCs/>
          <w:sz w:val="18"/>
          <w:szCs w:val="18"/>
          <w:rtl/>
        </w:rPr>
        <w:t>إن قول الفرزدق: "وإذا ما مثلَهم بشر" ذكر فيه العلماء توجيهات متعددة:</w:t>
      </w:r>
    </w:p>
    <w:p w:rsidR="007D3301" w:rsidRPr="00732B91" w:rsidRDefault="007D3301" w:rsidP="00732B91">
      <w:pPr>
        <w:pStyle w:val="a3"/>
        <w:bidi/>
        <w:spacing w:before="0" w:beforeAutospacing="0" w:after="120" w:afterAutospacing="0"/>
        <w:jc w:val="lowKashida"/>
        <w:rPr>
          <w:rFonts w:asciiTheme="majorBidi" w:hAnsiTheme="majorBidi" w:cstheme="majorBidi"/>
          <w:b/>
          <w:bCs/>
          <w:sz w:val="18"/>
          <w:szCs w:val="18"/>
        </w:rPr>
      </w:pPr>
      <w:r w:rsidRPr="00732B91">
        <w:rPr>
          <w:rFonts w:asciiTheme="majorBidi" w:hAnsiTheme="majorBidi" w:cstheme="majorBidi"/>
          <w:b/>
          <w:bCs/>
          <w:sz w:val="18"/>
          <w:szCs w:val="18"/>
          <w:rtl/>
        </w:rPr>
        <w:t>منها: أنه لا يكاد يعرف -وهو قول سيبويه كما سبقت الإشارة إليه.</w:t>
      </w:r>
    </w:p>
    <w:p w:rsidR="007D3301" w:rsidRPr="00732B91" w:rsidRDefault="007D3301" w:rsidP="00732B91">
      <w:pPr>
        <w:pStyle w:val="a3"/>
        <w:bidi/>
        <w:spacing w:before="0" w:beforeAutospacing="0" w:after="120" w:afterAutospacing="0"/>
        <w:jc w:val="lowKashida"/>
        <w:rPr>
          <w:rFonts w:asciiTheme="majorBidi" w:hAnsiTheme="majorBidi" w:cstheme="majorBidi"/>
          <w:b/>
          <w:bCs/>
          <w:sz w:val="18"/>
          <w:szCs w:val="18"/>
        </w:rPr>
      </w:pPr>
      <w:r w:rsidRPr="00732B91">
        <w:rPr>
          <w:rFonts w:asciiTheme="majorBidi" w:hAnsiTheme="majorBidi" w:cstheme="majorBidi"/>
          <w:b/>
          <w:bCs/>
          <w:sz w:val="18"/>
          <w:szCs w:val="18"/>
          <w:rtl/>
        </w:rPr>
        <w:t>ومنها: أن "بشر" خبر و"مثلَهم" مبتدأ؛ ولكنه بني على الفتح لإبهامه مع إضافته إلى المبني؛ فهو نظير قوله تعالى: {ﮱ ﯓ ﯔ ﯕ ﯖ ﯗ} [الذاريات: 23].</w:t>
      </w:r>
    </w:p>
    <w:p w:rsidR="007D3301" w:rsidRPr="00732B91" w:rsidRDefault="007D3301" w:rsidP="00732B91">
      <w:pPr>
        <w:pStyle w:val="a3"/>
        <w:bidi/>
        <w:spacing w:before="0" w:beforeAutospacing="0" w:after="120" w:afterAutospacing="0"/>
        <w:jc w:val="lowKashida"/>
        <w:rPr>
          <w:rFonts w:asciiTheme="majorBidi" w:hAnsiTheme="majorBidi" w:cstheme="majorBidi"/>
          <w:b/>
          <w:bCs/>
          <w:sz w:val="18"/>
          <w:szCs w:val="18"/>
        </w:rPr>
      </w:pPr>
      <w:r w:rsidRPr="00732B91">
        <w:rPr>
          <w:rFonts w:asciiTheme="majorBidi" w:hAnsiTheme="majorBidi" w:cstheme="majorBidi"/>
          <w:b/>
          <w:bCs/>
          <w:sz w:val="18"/>
          <w:szCs w:val="18"/>
          <w:rtl/>
        </w:rPr>
        <w:t>ومنها: أن يكون الأصل: "ما في الوجود بشرٌ مثلُهم"؛ فـ"مثلَهم" في الأصل نعت لـ"بشرٌ" و"بشرٌ" مبتدأ، والخبر محذوف وهو الجار والمجرور، ثم قدم النعت على المنعوت ونعت النكرة إذا تقدم عليها انتصب على الحال فـ"مثلَهم" حال.</w:t>
      </w:r>
    </w:p>
    <w:p w:rsidR="007D3301" w:rsidRPr="00732B91" w:rsidRDefault="007D3301" w:rsidP="00732B91">
      <w:pPr>
        <w:pStyle w:val="a3"/>
        <w:bidi/>
        <w:spacing w:before="0" w:beforeAutospacing="0" w:after="120" w:afterAutospacing="0"/>
        <w:jc w:val="lowKashida"/>
        <w:rPr>
          <w:rFonts w:asciiTheme="majorBidi" w:hAnsiTheme="majorBidi" w:cstheme="majorBidi"/>
          <w:b/>
          <w:bCs/>
          <w:sz w:val="18"/>
          <w:szCs w:val="18"/>
          <w:rtl/>
        </w:rPr>
      </w:pPr>
      <w:r w:rsidRPr="00732B91">
        <w:rPr>
          <w:rFonts w:asciiTheme="majorBidi" w:hAnsiTheme="majorBidi" w:cstheme="majorBidi"/>
          <w:b/>
          <w:bCs/>
          <w:sz w:val="18"/>
          <w:szCs w:val="18"/>
          <w:rtl/>
        </w:rPr>
        <w:t xml:space="preserve">وخلاصة ما سبق: أن ما ذكره ابن مالك ليس فيه دليل على إجماع العرب. </w:t>
      </w:r>
    </w:p>
    <w:p w:rsidR="00510E43" w:rsidRDefault="00510E43" w:rsidP="00510E43">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510E43" w:rsidRDefault="00510E43" w:rsidP="00510E43">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510E43" w:rsidRDefault="00510E43" w:rsidP="00510E43">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510E43" w:rsidRDefault="00510E43" w:rsidP="00510E43">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510E43" w:rsidRDefault="00510E43" w:rsidP="00510E43">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lastRenderedPageBreak/>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510E43" w:rsidRDefault="00510E43" w:rsidP="00510E43">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510E43" w:rsidRDefault="00510E43" w:rsidP="00510E43">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510E43" w:rsidRDefault="00510E43" w:rsidP="00510E43">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510E43" w:rsidRDefault="00510E43" w:rsidP="00510E43">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510E43" w:rsidRDefault="00510E43" w:rsidP="00510E43">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510E43" w:rsidRDefault="00510E43" w:rsidP="00510E43">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7D3301" w:rsidRPr="00510E43" w:rsidRDefault="007D3301" w:rsidP="00510E43">
      <w:pPr>
        <w:widowControl w:val="0"/>
        <w:spacing w:after="120" w:line="240" w:lineRule="auto"/>
        <w:jc w:val="center"/>
      </w:pPr>
    </w:p>
    <w:sectPr w:rsidR="007D3301" w:rsidRPr="00510E43" w:rsidSect="00510E43">
      <w:type w:val="continuous"/>
      <w:pgSz w:w="11906" w:h="16838"/>
      <w:pgMar w:top="1440" w:right="1440" w:bottom="1440" w:left="1440" w:header="720" w:footer="720" w:gutter="0"/>
      <w:cols w:num="2"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7D3301"/>
    <w:rsid w:val="00123B51"/>
    <w:rsid w:val="002460EE"/>
    <w:rsid w:val="003D7FD2"/>
    <w:rsid w:val="00510E43"/>
    <w:rsid w:val="005819BA"/>
    <w:rsid w:val="006315DB"/>
    <w:rsid w:val="00732B91"/>
    <w:rsid w:val="007D3301"/>
    <w:rsid w:val="007E639D"/>
    <w:rsid w:val="00CD4B06"/>
    <w:rsid w:val="00EF5AB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B0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D330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10E43"/>
    <w:pPr>
      <w:ind w:left="720"/>
      <w:contextualSpacing/>
    </w:pPr>
  </w:style>
</w:styles>
</file>

<file path=word/webSettings.xml><?xml version="1.0" encoding="utf-8"?>
<w:webSettings xmlns:r="http://schemas.openxmlformats.org/officeDocument/2006/relationships" xmlns:w="http://schemas.openxmlformats.org/wordprocessingml/2006/main">
  <w:divs>
    <w:div w:id="747725068">
      <w:bodyDiv w:val="1"/>
      <w:marLeft w:val="0"/>
      <w:marRight w:val="0"/>
      <w:marTop w:val="0"/>
      <w:marBottom w:val="0"/>
      <w:divBdr>
        <w:top w:val="none" w:sz="0" w:space="0" w:color="auto"/>
        <w:left w:val="none" w:sz="0" w:space="0" w:color="auto"/>
        <w:bottom w:val="none" w:sz="0" w:space="0" w:color="auto"/>
        <w:right w:val="none" w:sz="0" w:space="0" w:color="auto"/>
      </w:divBdr>
    </w:div>
    <w:div w:id="1146434296">
      <w:bodyDiv w:val="1"/>
      <w:marLeft w:val="0"/>
      <w:marRight w:val="0"/>
      <w:marTop w:val="0"/>
      <w:marBottom w:val="0"/>
      <w:divBdr>
        <w:top w:val="none" w:sz="0" w:space="0" w:color="auto"/>
        <w:left w:val="none" w:sz="0" w:space="0" w:color="auto"/>
        <w:bottom w:val="none" w:sz="0" w:space="0" w:color="auto"/>
        <w:right w:val="none" w:sz="0" w:space="0" w:color="auto"/>
      </w:divBdr>
    </w:div>
    <w:div w:id="167001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7</cp:revision>
  <dcterms:created xsi:type="dcterms:W3CDTF">2013-06-14T12:26:00Z</dcterms:created>
  <dcterms:modified xsi:type="dcterms:W3CDTF">2013-06-16T13:44:00Z</dcterms:modified>
</cp:coreProperties>
</file>