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23" w:rsidRPr="007E54AB" w:rsidRDefault="007E54AB" w:rsidP="00B44418">
      <w:pPr>
        <w:jc w:val="center"/>
        <w:rPr>
          <w:rFonts w:asciiTheme="majorBidi" w:hAnsiTheme="majorBidi" w:cstheme="majorBidi"/>
          <w:sz w:val="48"/>
          <w:szCs w:val="48"/>
          <w:rtl/>
        </w:rPr>
      </w:pPr>
      <w:r w:rsidRPr="007E54AB">
        <w:rPr>
          <w:rFonts w:asciiTheme="majorBidi" w:eastAsia="Calibri" w:hAnsiTheme="majorBidi" w:cstheme="majorBidi"/>
          <w:sz w:val="48"/>
          <w:szCs w:val="48"/>
          <w:rtl/>
        </w:rPr>
        <w:t>الخلاف في التعليل بالعلة القاصرة</w:t>
      </w:r>
    </w:p>
    <w:p w:rsidR="00B44418" w:rsidRDefault="000A2469" w:rsidP="00B44418">
      <w:pPr>
        <w:jc w:val="center"/>
        <w:rPr>
          <w:rFonts w:eastAsia="Times New Roman"/>
          <w:i/>
          <w:iCs/>
        </w:rPr>
      </w:pPr>
      <w:r>
        <w:rPr>
          <w:rtl/>
        </w:rPr>
        <w:t>بحث فى</w:t>
      </w:r>
      <w:r>
        <w:rPr>
          <w:rFonts w:hint="cs"/>
          <w:rtl/>
        </w:rPr>
        <w:t xml:space="preserve"> النحو</w:t>
      </w:r>
      <w:r>
        <w:br/>
      </w:r>
      <w:proofErr w:type="spellStart"/>
      <w:r w:rsidR="00B44418">
        <w:rPr>
          <w:rFonts w:hint="cs"/>
          <w:i/>
          <w:iCs/>
          <w:rtl/>
        </w:rPr>
        <w:t>إعداد/</w:t>
      </w:r>
      <w:proofErr w:type="spellEnd"/>
      <w:r w:rsidR="00B44418">
        <w:rPr>
          <w:rFonts w:hint="cs"/>
          <w:i/>
          <w:iCs/>
          <w:rtl/>
        </w:rPr>
        <w:t xml:space="preserve"> د. وليد علي الطنطاوي</w:t>
      </w:r>
    </w:p>
    <w:p w:rsidR="00B44418" w:rsidRDefault="00B44418" w:rsidP="00B44418">
      <w:pPr>
        <w:bidi w:val="0"/>
        <w:jc w:val="center"/>
        <w:rPr>
          <w:rFonts w:eastAsia="SimSun"/>
          <w:i/>
          <w:iCs/>
          <w:sz w:val="20"/>
          <w:szCs w:val="20"/>
        </w:rPr>
      </w:pPr>
      <w:r>
        <w:rPr>
          <w:rFonts w:hint="cs"/>
          <w:i/>
          <w:iCs/>
          <w:rtl/>
        </w:rPr>
        <w:t>قسم اللغة العربية</w:t>
      </w:r>
    </w:p>
    <w:p w:rsidR="00B44418" w:rsidRDefault="00B44418" w:rsidP="00B44418">
      <w:pPr>
        <w:bidi w:val="0"/>
        <w:jc w:val="center"/>
        <w:rPr>
          <w:rFonts w:hint="cs"/>
          <w:i/>
          <w:iCs/>
          <w:rtl/>
        </w:rPr>
      </w:pPr>
      <w:proofErr w:type="gramStart"/>
      <w:r>
        <w:rPr>
          <w:rFonts w:hint="cs"/>
          <w:i/>
          <w:iCs/>
          <w:rtl/>
        </w:rPr>
        <w:t>كلية</w:t>
      </w:r>
      <w:proofErr w:type="gramEnd"/>
      <w:r>
        <w:rPr>
          <w:rFonts w:hint="cs"/>
          <w:i/>
          <w:iCs/>
          <w:rtl/>
        </w:rPr>
        <w:t xml:space="preserve"> اللغات </w:t>
      </w:r>
      <w:proofErr w:type="spellStart"/>
      <w:r>
        <w:rPr>
          <w:rFonts w:hint="cs"/>
          <w:i/>
          <w:iCs/>
          <w:rtl/>
        </w:rPr>
        <w:t>–</w:t>
      </w:r>
      <w:proofErr w:type="spellEnd"/>
      <w:r>
        <w:rPr>
          <w:rFonts w:hint="cs"/>
          <w:i/>
          <w:iCs/>
          <w:rtl/>
        </w:rPr>
        <w:t xml:space="preserve"> جامعة المدينة العالمية</w:t>
      </w:r>
    </w:p>
    <w:p w:rsidR="00B44418" w:rsidRDefault="00B44418" w:rsidP="00B44418">
      <w:pPr>
        <w:bidi w:val="0"/>
        <w:jc w:val="center"/>
        <w:rPr>
          <w:i/>
          <w:iCs/>
        </w:rPr>
      </w:pPr>
      <w:r>
        <w:rPr>
          <w:rFonts w:hint="cs"/>
          <w:i/>
          <w:iCs/>
          <w:rtl/>
        </w:rPr>
        <w:t xml:space="preserve">شاه علم </w:t>
      </w:r>
      <w:proofErr w:type="spellStart"/>
      <w:r>
        <w:rPr>
          <w:rFonts w:hint="cs"/>
          <w:i/>
          <w:iCs/>
          <w:rtl/>
        </w:rPr>
        <w:t>-</w:t>
      </w:r>
      <w:proofErr w:type="spellEnd"/>
      <w:r>
        <w:rPr>
          <w:rFonts w:hint="cs"/>
          <w:i/>
          <w:iCs/>
          <w:rtl/>
        </w:rPr>
        <w:t xml:space="preserve"> ماليزيا</w:t>
      </w:r>
    </w:p>
    <w:p w:rsidR="00B44418" w:rsidRDefault="00B44418" w:rsidP="00B44418">
      <w:pPr>
        <w:bidi w:val="0"/>
        <w:jc w:val="center"/>
        <w:rPr>
          <w:i/>
          <w:iCs/>
        </w:rPr>
      </w:pPr>
      <w:r>
        <w:rPr>
          <w:i/>
          <w:iCs/>
        </w:rPr>
        <w:t>waleed.eltantawy@mediu.edu.my</w:t>
      </w:r>
    </w:p>
    <w:p w:rsidR="007E54AB" w:rsidRDefault="007E54AB" w:rsidP="00B44418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  <w:sectPr w:rsidR="007E54AB" w:rsidSect="007E639D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7E54AB" w:rsidRPr="007E54AB" w:rsidRDefault="007E54AB" w:rsidP="007E54AB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E54AB">
        <w:rPr>
          <w:rFonts w:asciiTheme="majorBidi" w:hAnsiTheme="majorBidi" w:cstheme="majorBidi"/>
          <w:b/>
          <w:bCs/>
          <w:sz w:val="18"/>
          <w:szCs w:val="18"/>
        </w:rPr>
        <w:lastRenderedPageBreak/>
        <w:br/>
      </w:r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الخلاصة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البحث يبحث فى </w:t>
      </w:r>
      <w:r w:rsidRPr="007E54AB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الخلاف في التعليل بالعلة القاصرة</w:t>
      </w:r>
      <w:r w:rsidRPr="007E54AB">
        <w:rPr>
          <w:rFonts w:asciiTheme="majorBidi" w:hAnsiTheme="majorBidi" w:cstheme="majorBidi"/>
          <w:b/>
          <w:bCs/>
          <w:sz w:val="18"/>
          <w:szCs w:val="18"/>
        </w:rPr>
        <w:br/>
      </w:r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المفتاحية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العلماء</w:t>
      </w:r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التعليل</w:t>
      </w:r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العرب</w:t>
      </w:r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7E54AB" w:rsidRPr="007E54AB" w:rsidRDefault="007E54AB" w:rsidP="007E54AB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proofErr w:type="gram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proofErr w:type="gramEnd"/>
      <w:r w:rsidRPr="007E54AB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7E54AB" w:rsidRPr="007E54AB" w:rsidRDefault="007E54AB" w:rsidP="007E54AB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الحمد لله رب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العالمين،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والصلاة والسلام على أشرف المرسلين سيدنا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محمد،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آله وصحبه </w:t>
      </w:r>
      <w:proofErr w:type="gram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والتابعين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proofErr w:type="gram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سوف نقوم في هذا البحث بمعرفة</w:t>
      </w:r>
      <w:r w:rsidRPr="007E54AB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الخلاف في التعليل بالعلة القاصرة</w:t>
      </w:r>
    </w:p>
    <w:p w:rsidR="007E54AB" w:rsidRPr="007E54AB" w:rsidRDefault="007E54AB" w:rsidP="007A05C4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r w:rsidR="007A05C4">
        <w:rPr>
          <w:rFonts w:asciiTheme="majorBidi" w:hAnsiTheme="majorBidi" w:cstheme="majorBidi" w:hint="cs"/>
          <w:b/>
          <w:bCs/>
          <w:sz w:val="18"/>
          <w:szCs w:val="18"/>
          <w:rtl/>
        </w:rPr>
        <w:t>موضوع</w:t>
      </w:r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المقال</w:t>
      </w:r>
      <w:r w:rsidRPr="007E54AB">
        <w:rPr>
          <w:rFonts w:asciiTheme="majorBidi" w:hAnsiTheme="majorBidi" w:cstheme="majorBidi"/>
          <w:b/>
          <w:bCs/>
          <w:sz w:val="18"/>
          <w:szCs w:val="18"/>
        </w:rPr>
        <w:t xml:space="preserve"> II</w:t>
      </w:r>
    </w:p>
    <w:p w:rsidR="007E54AB" w:rsidRPr="007E54AB" w:rsidRDefault="007E54AB" w:rsidP="007E54AB">
      <w:pPr>
        <w:pStyle w:val="a3"/>
        <w:bidi/>
        <w:spacing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ذكر السيوطي نقلًا عن أبي البركات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"أن العلماء قد اختلفوا في التعليل بالعلة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القاصرة،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وهي التي لا تتجاوز محل النص المعلل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بها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إلى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غيره،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فجوَّزها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قوم،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ومنعها قوم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آخرون،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ومثَّل لها بالعلة في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قولهم: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"ما جاءت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حاجتك"،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بنصب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"حاجتك"،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وقولهم: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"عسى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الغوير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أبؤسًا"،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"جاءت"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و"عسى"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فيهما أُجريَا مُجرى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"صار"؛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فجعل لهما اسم مرفوع وخبر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منصوب،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يجوز أن يجري مجرى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"صار"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غير هذين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المثالين،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فلا يقال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مثلًا: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ما جاءت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حالتك،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ما صارت. ولا جاء زيد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قائمًا،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صار زيد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قائمًا،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كما لا يجوز عسى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الغوير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أنعمًا،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عسى زيد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قائمًا؛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بإجراء عسى مُجرى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صار".</w:t>
      </w:r>
      <w:proofErr w:type="spellEnd"/>
    </w:p>
    <w:p w:rsidR="007E54AB" w:rsidRPr="007E54AB" w:rsidRDefault="007E54AB" w:rsidP="007E54AB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gram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وبيان</w:t>
      </w:r>
      <w:proofErr w:type="gram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ذلك: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الأصل في جاء أن يكون فعلًا كسائر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الأفعال،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ومن العرب مَن لا يجعله متعديًا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فيقول: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جاء زيد إلى عمرو. ومنهم من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يعدِّيه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فيقول: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جاء زيد عمرًا. فأما قول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العرب: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ما جاءت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حاجتك،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فمعناه: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أية حاجة صارت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حاجتك،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فما في التركيب اسم استفهام مبتدأ في محل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رفع،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وجاءت بمعنى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صارت،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فهي فعل ماضٍ ناسخ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ككان،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واسمها ضمير مستتر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فيها،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وحاجتك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خبرها،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ومضاف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إليه،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والجملة الفعلية خبر ما في محل رفع.</w:t>
      </w:r>
    </w:p>
    <w:p w:rsidR="007E54AB" w:rsidRPr="007E54AB" w:rsidRDefault="007E54AB" w:rsidP="007E54AB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وأما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قولهم: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"عسى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الغوير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أبؤسًا"،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فالغوير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تصغير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غارٍ،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والأبؤس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جمع بؤس وهو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الشدة،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والمعنى: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لعل الشَّرَّ يأتيكم من قبل هذا الغار يُضرب للرجل يقال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له: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لعل الشر جاء من قبلك. والشاهد في المثالين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العربيين: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العلة فيهما لا تتجاوزهما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لغيرهما،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واستدلَّ أبو البركات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على صحتها بأنها ساوت العلة المتعدية في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الإخالة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والمناسبة،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وزادت عليها بظاهر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النقل،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فيما هي خاصة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ومقصورة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عليه،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 لم يكن ذلك علامة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للصحة؛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فلا أقل من ألا يكون علامة على الفساد.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والإخالة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هي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المناسبة،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فالعطف عطف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تفسير،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ومعنى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الإخالة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والمناسبة بيان وجه الارتباط والتعلق بين العلة والحكم.</w:t>
      </w:r>
    </w:p>
    <w:p w:rsidR="007E54AB" w:rsidRPr="007E54AB" w:rsidRDefault="007E54AB" w:rsidP="007E54AB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وهناك رأي آخر مقابل للرأي السابق في العلة القاصرة ذكره السيوطي نقلًا عن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أيضًا،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وهو: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هناك قومًا قالوا عنها إنها علة باطلة لأن العلة إنما تراد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لتعديتها،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لتعدية حكم الأصل إلى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الفرع،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وهذه العلة لا تعدية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فيها،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فلا فائدة لها لأنها لا فرع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لها،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والحكم فيها ثابت بالنص لا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بها،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فيكون ذكرها حينئذٍ عبثًا. وأجيب بأنا لا نسلم أن العلة إنما تُراد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للتعدية،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 العلة إنما كانت علة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لإخالتها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ومناسبتها لا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لتعديتها،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 كانت التعدية لازمة لها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غالبًا،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نسلم أيضًا عدم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فائدتها،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فإنها تفيد </w:t>
      </w:r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الفرق بين المنصوص الذي يُعرف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معناه،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والمنصوص الذي لا يُعرف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معناه،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الذي يقال له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سماعي؛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فلا يقاس عليه لعدم تعقُّل معنى الحكم حتى يُنظر أوجد في غيره أم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لا؟.</w:t>
      </w:r>
      <w:proofErr w:type="spellEnd"/>
    </w:p>
    <w:p w:rsidR="007E54AB" w:rsidRPr="007E54AB" w:rsidRDefault="007E54AB" w:rsidP="007E54AB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وتفيد كذلك أنه ممتنع ردُّ غير المنصوص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عليه،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وتفيد أيضًا أن الحكم ثبت في المنصوص عليه بهذه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العلة،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وهذه الإجابة من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تدلُّ على أنه ممن يرى جواز التعليل بالعلة القاصرة لتعدد فوائدها. ونقل السيوطي عن ابن مالك ذكره في (شرح التسهيل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):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"أنهم علَّلوا سكون آخر الفعل المسند إلى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التاء،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ونحوه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بقولهم: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لئلا تتوالى أربع حركات فيما هو كالكلمة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الواحدة،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وهذه العلة ضعيفة لأنها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قاصرة؛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إذ لا يوجد التوالي إلا في الثلاثي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الصحيح،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وبعض الخماسي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كانطلق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وانكسر،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والكثير لا يتوالى فيه والسكون عام في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الجميع،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قال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السيوطي: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"فمنع</w:t>
      </w:r>
      <w:r w:rsidRPr="007E54AB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ابن </w:t>
      </w: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مالك-</w:t>
      </w:r>
      <w:proofErr w:type="spell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العلة </w:t>
      </w:r>
      <w:proofErr w:type="spellStart"/>
      <w:proofErr w:type="gram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القاصرة</w:t>
      </w:r>
      <w:proofErr w:type="gramEnd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".</w:t>
      </w:r>
      <w:proofErr w:type="spellEnd"/>
    </w:p>
    <w:p w:rsidR="007F7C67" w:rsidRDefault="007F7C67" w:rsidP="007F7C67">
      <w:pPr>
        <w:widowControl w:val="0"/>
        <w:spacing w:after="12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proofErr w:type="gramStart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المراجع</w:t>
      </w:r>
      <w:proofErr w:type="gramEnd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والمصادر</w:t>
      </w:r>
    </w:p>
    <w:p w:rsidR="007F7C67" w:rsidRDefault="007F7C67" w:rsidP="007F7C67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جلال الدين عبد الرحمن بن كمال 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الاقتراح في علم أصول النحو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طه عبد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الرؤوف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سعد،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مكتبة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الصفا،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1999م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7F7C67" w:rsidRDefault="007F7C67" w:rsidP="007F7C67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محمود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فجال،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دمشق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(الإصباح في شرح الاقتراح)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القلم،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1989م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7F7C67" w:rsidRDefault="007F7C67" w:rsidP="007F7C67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(الخصائص</w:t>
      </w:r>
      <w:proofErr w:type="spellStart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>)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محمد علي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النجار،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الكتاب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العربي،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1953م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7F7C67" w:rsidRDefault="007F7C67" w:rsidP="007F7C67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،(الإغراب في جدول الإعراب)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الأفغاني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7F7C67" w:rsidRDefault="007F7C67" w:rsidP="007F7C67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،بيروت،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المكتب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الإسلامي،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7F7C67" w:rsidRDefault="007F7C67" w:rsidP="007F7C67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عمرو بن عثمان بن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قنبر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 (كتاب سيبويه)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تحقيق عبد السلام هارون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الهيئة المصرية العامة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للكتاب،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7F7C67" w:rsidRDefault="007F7C67" w:rsidP="007F7C67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(لمع الأدلة 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7F7C67" w:rsidRDefault="007F7C67" w:rsidP="007F7C67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(من تاريخ النحو)،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1978م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7F7C67" w:rsidRDefault="007F7C67" w:rsidP="007F7C67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مازن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المبارك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(النحو العربي  العلة النحوية نشأتها وتطورها)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1981م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7F7C67" w:rsidRDefault="007F7C67" w:rsidP="007F7C67">
      <w:pPr>
        <w:pStyle w:val="a4"/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محمد الطنطاوي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(نشأة النحو  وتاريخ أشهر النحاة)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القاهرة،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وادي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الملوك،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1954م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7E54AB" w:rsidRPr="007E54AB" w:rsidRDefault="007E54AB" w:rsidP="007E54AB">
      <w:p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 w:rsidRPr="007E54AB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proofErr w:type="spellEnd"/>
    </w:p>
    <w:p w:rsidR="007E54AB" w:rsidRDefault="007E54AB">
      <w:pPr>
        <w:rPr>
          <w:rtl/>
        </w:rPr>
        <w:sectPr w:rsidR="007E54AB" w:rsidSect="007E54AB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7E54AB" w:rsidRDefault="007E54AB"/>
    <w:sectPr w:rsidR="007E54AB" w:rsidSect="007E54AB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165"/>
    <w:multiLevelType w:val="hybridMultilevel"/>
    <w:tmpl w:val="E4BA73E2"/>
    <w:lvl w:ilvl="0" w:tplc="070830EC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cs="AL-Matee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4AB"/>
    <w:rsid w:val="00084066"/>
    <w:rsid w:val="000A2469"/>
    <w:rsid w:val="00181D23"/>
    <w:rsid w:val="006D0A7E"/>
    <w:rsid w:val="007A05C4"/>
    <w:rsid w:val="007E54AB"/>
    <w:rsid w:val="007E639D"/>
    <w:rsid w:val="007F7C67"/>
    <w:rsid w:val="00AF337D"/>
    <w:rsid w:val="00B44418"/>
    <w:rsid w:val="00EA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54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7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hala</cp:lastModifiedBy>
  <cp:revision>8</cp:revision>
  <dcterms:created xsi:type="dcterms:W3CDTF">2013-06-15T00:08:00Z</dcterms:created>
  <dcterms:modified xsi:type="dcterms:W3CDTF">2013-06-16T14:10:00Z</dcterms:modified>
</cp:coreProperties>
</file>