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23" w:rsidRPr="00E71249" w:rsidRDefault="00991534" w:rsidP="00E71249">
      <w:pPr>
        <w:jc w:val="center"/>
        <w:rPr>
          <w:rFonts w:asciiTheme="majorBidi" w:hAnsiTheme="majorBidi" w:cstheme="majorBidi"/>
          <w:sz w:val="52"/>
          <w:szCs w:val="52"/>
          <w:rtl/>
        </w:rPr>
      </w:pPr>
      <w:r w:rsidRPr="00E71249">
        <w:rPr>
          <w:rFonts w:asciiTheme="majorBidi" w:eastAsia="Calibri" w:hAnsiTheme="majorBidi" w:cstheme="majorBidi"/>
          <w:sz w:val="52"/>
          <w:szCs w:val="52"/>
          <w:rtl/>
        </w:rPr>
        <w:t>دَوْرُ العلة</w:t>
      </w:r>
    </w:p>
    <w:p w:rsidR="000B2293" w:rsidRDefault="00953B10" w:rsidP="000B2293">
      <w:pPr>
        <w:jc w:val="center"/>
        <w:rPr>
          <w:rFonts w:eastAsia="Times New Roman"/>
          <w:i/>
          <w:iCs/>
          <w:lang w:bidi="ar-EG"/>
        </w:rPr>
      </w:pPr>
      <w:r>
        <w:rPr>
          <w:rFonts w:hint="cs"/>
          <w:rtl/>
        </w:rPr>
        <w:t>بحث فى النحو</w:t>
      </w:r>
      <w:r>
        <w:br/>
      </w:r>
      <w:r w:rsidR="000B2293">
        <w:rPr>
          <w:i/>
          <w:iCs/>
          <w:rtl/>
        </w:rPr>
        <w:t xml:space="preserve">إعداد/ </w:t>
      </w:r>
      <w:r w:rsidR="000B2293">
        <w:rPr>
          <w:i/>
          <w:iCs/>
          <w:rtl/>
          <w:lang w:bidi="ar-EG"/>
        </w:rPr>
        <w:t xml:space="preserve">شيماء عبد المجيد محمد </w:t>
      </w:r>
      <w:proofErr w:type="spellStart"/>
      <w:r w:rsidR="000B2293">
        <w:rPr>
          <w:i/>
          <w:iCs/>
          <w:rtl/>
          <w:lang w:bidi="ar-EG"/>
        </w:rPr>
        <w:t>زهران</w:t>
      </w:r>
      <w:proofErr w:type="spellEnd"/>
    </w:p>
    <w:p w:rsidR="000B2293" w:rsidRDefault="000B2293" w:rsidP="000B2293">
      <w:pPr>
        <w:bidi w:val="0"/>
        <w:jc w:val="center"/>
        <w:rPr>
          <w:rFonts w:eastAsia="SimSun"/>
          <w:i/>
          <w:iCs/>
          <w:sz w:val="20"/>
          <w:szCs w:val="20"/>
        </w:rPr>
      </w:pPr>
      <w:r>
        <w:rPr>
          <w:i/>
          <w:iCs/>
          <w:rtl/>
        </w:rPr>
        <w:t>قسم اللغة العربية</w:t>
      </w:r>
    </w:p>
    <w:p w:rsidR="000B2293" w:rsidRDefault="000B2293" w:rsidP="000B2293">
      <w:pPr>
        <w:bidi w:val="0"/>
        <w:jc w:val="center"/>
        <w:rPr>
          <w:i/>
          <w:iCs/>
        </w:rPr>
      </w:pPr>
      <w:proofErr w:type="gramStart"/>
      <w:r>
        <w:rPr>
          <w:i/>
          <w:iCs/>
          <w:rtl/>
        </w:rPr>
        <w:t>كلية</w:t>
      </w:r>
      <w:proofErr w:type="gramEnd"/>
      <w:r>
        <w:rPr>
          <w:i/>
          <w:iCs/>
          <w:rtl/>
        </w:rPr>
        <w:t xml:space="preserve"> اللغات </w:t>
      </w:r>
      <w:proofErr w:type="spellStart"/>
      <w:r>
        <w:rPr>
          <w:i/>
          <w:iCs/>
          <w:rtl/>
        </w:rPr>
        <w:t>–</w:t>
      </w:r>
      <w:proofErr w:type="spellEnd"/>
      <w:r>
        <w:rPr>
          <w:i/>
          <w:iCs/>
          <w:rtl/>
        </w:rPr>
        <w:t xml:space="preserve"> جامعة المدينة العالمية</w:t>
      </w:r>
    </w:p>
    <w:p w:rsidR="000B2293" w:rsidRDefault="000B2293" w:rsidP="000B2293">
      <w:pPr>
        <w:bidi w:val="0"/>
        <w:jc w:val="center"/>
        <w:rPr>
          <w:i/>
          <w:iCs/>
        </w:rPr>
      </w:pPr>
      <w:r>
        <w:rPr>
          <w:i/>
          <w:iCs/>
          <w:rtl/>
        </w:rPr>
        <w:t xml:space="preserve">شاه علم </w:t>
      </w:r>
      <w:proofErr w:type="spellStart"/>
      <w:r>
        <w:rPr>
          <w:i/>
          <w:iCs/>
          <w:rtl/>
        </w:rPr>
        <w:t>-</w:t>
      </w:r>
      <w:proofErr w:type="spellEnd"/>
      <w:r>
        <w:rPr>
          <w:i/>
          <w:iCs/>
          <w:rtl/>
        </w:rPr>
        <w:t xml:space="preserve"> ماليزيا</w:t>
      </w:r>
    </w:p>
    <w:p w:rsidR="00953B10" w:rsidRPr="000B2293" w:rsidRDefault="000B2293" w:rsidP="000B2293">
      <w:pPr>
        <w:bidi w:val="0"/>
        <w:jc w:val="center"/>
        <w:rPr>
          <w:i/>
          <w:iCs/>
        </w:rPr>
      </w:pPr>
      <w:r>
        <w:rPr>
          <w:i/>
          <w:iCs/>
          <w:lang w:bidi="ar-EG"/>
        </w:rPr>
        <w:t>shaimaa.abdelmajeed@mediu.ws</w:t>
      </w:r>
    </w:p>
    <w:p w:rsidR="00991534" w:rsidRDefault="00991534" w:rsidP="00991534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  <w:sectPr w:rsidR="00991534" w:rsidSect="000B2293">
          <w:pgSz w:w="11906" w:h="16838"/>
          <w:pgMar w:top="851" w:right="1440" w:bottom="1440" w:left="1440" w:header="720" w:footer="720" w:gutter="0"/>
          <w:cols w:space="720"/>
          <w:bidi/>
          <w:rtlGutter/>
          <w:docGrid w:linePitch="360"/>
        </w:sectPr>
      </w:pPr>
      <w:r>
        <w:br/>
      </w:r>
    </w:p>
    <w:p w:rsidR="00991534" w:rsidRPr="00991534" w:rsidRDefault="00991534" w:rsidP="00E71249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91534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991534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دَوْرُ العلة</w:t>
      </w:r>
      <w:r w:rsidRPr="00991534">
        <w:rPr>
          <w:rFonts w:asciiTheme="majorBidi" w:hAnsiTheme="majorBidi" w:cstheme="majorBidi"/>
          <w:b/>
          <w:bCs/>
          <w:sz w:val="18"/>
          <w:szCs w:val="18"/>
        </w:rPr>
        <w:br/>
      </w:r>
      <w:r w:rsidRPr="0099153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="00E71249">
        <w:rPr>
          <w:rFonts w:asciiTheme="majorBidi" w:hAnsiTheme="majorBidi" w:cstheme="majorBidi" w:hint="cs"/>
          <w:b/>
          <w:bCs/>
          <w:sz w:val="18"/>
          <w:szCs w:val="18"/>
          <w:rtl/>
        </w:rPr>
        <w:t>باب</w:t>
      </w:r>
      <w:r w:rsidRPr="0099153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="00E71249">
        <w:rPr>
          <w:rFonts w:asciiTheme="majorBidi" w:hAnsiTheme="majorBidi" w:cstheme="majorBidi" w:hint="cs"/>
          <w:b/>
          <w:bCs/>
          <w:sz w:val="18"/>
          <w:szCs w:val="18"/>
          <w:rtl/>
        </w:rPr>
        <w:t>الاعتلال</w:t>
      </w:r>
      <w:r w:rsidRPr="0099153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 w:rsidR="00E71249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وجوب</w:t>
      </w:r>
      <w:r w:rsidRPr="0099153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991534" w:rsidRPr="00991534" w:rsidRDefault="00991534" w:rsidP="00991534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991534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r w:rsidRPr="00991534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991534" w:rsidRPr="00991534" w:rsidRDefault="00991534" w:rsidP="00991534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91534">
        <w:rPr>
          <w:rFonts w:asciiTheme="majorBidi" w:hAnsiTheme="majorBidi" w:cstheme="majorBidi"/>
          <w:b/>
          <w:bCs/>
          <w:sz w:val="18"/>
          <w:szCs w:val="18"/>
          <w:rtl/>
        </w:rPr>
        <w:t>الحمد لله رب العالمين، والصلاة والسلام على أشرف المرسلين سيدنا محمد، وعلى آله وصحبه والتابعين ، سوف نقوم في هذا البحث بمعرفة</w:t>
      </w:r>
      <w:r w:rsidRPr="00991534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دَوْرُ العلة</w:t>
      </w:r>
    </w:p>
    <w:p w:rsidR="00991534" w:rsidRPr="00991534" w:rsidRDefault="00991534" w:rsidP="00953B10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99153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953B10">
        <w:rPr>
          <w:rFonts w:asciiTheme="majorBidi" w:hAnsiTheme="majorBidi" w:cstheme="majorBidi" w:hint="cs"/>
          <w:b/>
          <w:bCs/>
          <w:sz w:val="18"/>
          <w:szCs w:val="18"/>
          <w:rtl/>
        </w:rPr>
        <w:t>موضوع</w:t>
      </w:r>
      <w:r w:rsidRPr="0099153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991534">
        <w:rPr>
          <w:rFonts w:asciiTheme="majorBidi" w:hAnsiTheme="majorBidi" w:cstheme="majorBidi"/>
          <w:b/>
          <w:bCs/>
          <w:sz w:val="18"/>
          <w:szCs w:val="18"/>
        </w:rPr>
        <w:t xml:space="preserve"> II</w:t>
      </w:r>
    </w:p>
    <w:p w:rsidR="00991534" w:rsidRPr="00991534" w:rsidRDefault="00991534" w:rsidP="0099153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91534">
        <w:rPr>
          <w:rFonts w:asciiTheme="majorBidi" w:hAnsiTheme="majorBidi" w:cstheme="majorBidi"/>
          <w:b/>
          <w:bCs/>
          <w:sz w:val="18"/>
          <w:szCs w:val="18"/>
          <w:rtl/>
        </w:rPr>
        <w:t>وقد استقى السيوطي مادة هذه المسألة من (الخصائص) كذلك، من باب عنوانه: باب في دور الاعتلال، ويريد ابن جني بدور الاعتلال: أن يعلل الشيء بعلة معللة بذلك الشيء، والدور بين شيئين توقف كل منهما على الآخر، وهذا من مصطلحات المتكلمين ولهم فيه تقاسيم وبحوث.</w:t>
      </w:r>
    </w:p>
    <w:p w:rsidR="00991534" w:rsidRPr="00991534" w:rsidRDefault="00991534" w:rsidP="0099153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91534">
        <w:rPr>
          <w:rFonts w:asciiTheme="majorBidi" w:hAnsiTheme="majorBidi" w:cstheme="majorBidi"/>
          <w:b/>
          <w:bCs/>
          <w:sz w:val="18"/>
          <w:szCs w:val="18"/>
          <w:rtl/>
        </w:rPr>
        <w:t>ذكر السيوطي أن ابن جني قال في (الخصائص): هذا نوع طريف، ذهب محمد بن يزيد -أي: المبرد- في وجوب إسكان اللام في نحو: ضربن وضربت، إلى أنه لحركة ما بعده من الضمير، يعني مع الحركتين قبل، أي: لئلا يتوالى أربع حركات -كما جاء في (الاقتراح)- وذهب أيضًا في حركة الضمير من نحو هذا؛ لأنها إنما وجبت لسكون ما قبله؛ فتارة اعتل بهذا لهذا، ثم دار تارة أخرى فاعتل لهذا بهذا.</w:t>
      </w:r>
    </w:p>
    <w:p w:rsidR="00991534" w:rsidRPr="00991534" w:rsidRDefault="00991534" w:rsidP="0099153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91534">
        <w:rPr>
          <w:rFonts w:asciiTheme="majorBidi" w:hAnsiTheme="majorBidi" w:cstheme="majorBidi"/>
          <w:b/>
          <w:bCs/>
          <w:sz w:val="18"/>
          <w:szCs w:val="18"/>
          <w:rtl/>
        </w:rPr>
        <w:t>واستطرد السيوطي ناقلًا عن ابن جني بالمعنى فقال: "قال -أي: ابن جني-: وهو نظير ما أجازه سيبويه في جر الوجه من قولك: الحسن الوجه وأنه جعله تشبيهًا بالضارب الرجل مع أن جر الرجل تشبيهًا بالحسن الوجه، قال -أي: ابن جني-: إلا أن مسألة سيبويه أقوى من مسألة المبرد؛ لأن الشيء لا يكون علة نفسه، وإذا لم يكن كذلك كان من أن يكون علة علته أبعد". انتهى.</w:t>
      </w:r>
    </w:p>
    <w:p w:rsidR="00991534" w:rsidRPr="00991534" w:rsidRDefault="00991534" w:rsidP="0099153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91534">
        <w:rPr>
          <w:rFonts w:asciiTheme="majorBidi" w:hAnsiTheme="majorBidi" w:cstheme="majorBidi"/>
          <w:b/>
          <w:bCs/>
          <w:sz w:val="18"/>
          <w:szCs w:val="18"/>
          <w:rtl/>
        </w:rPr>
        <w:t>وإنما رجح ابن جني تعليل سيبويه في المسألة المذكورة جر الوجه تشبيهًا بجر الرجل في المثالين المذكورين ونحوهما؛ لأن لهذا الحمل مسوغًا قويًّا أشار إليه ابن جني بقوله: "وذلك أن الفروع إذا تمكنت قويت قوة تسوغ حمل الأصول عليها؛ وذلك لإرادتهم تثبيت الفرع والشهادة له بقوة الحكم". انتهى.</w:t>
      </w:r>
    </w:p>
    <w:p w:rsidR="00991534" w:rsidRDefault="00991534" w:rsidP="0099153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9153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أما تعليل المبرد؛ فليس له هذه القوة؛ إذ جعل الشيء علة نفسه؛ فتسكين اللام في باب ضربتُ؛ لحركة الضمير، وحركة الضمير لسكون اللام؛ فقال عنه ابن جني: شنيع الظاهر والعذر فيه أضعف منه في مسألة (الكتاب). </w:t>
      </w:r>
    </w:p>
    <w:p w:rsidR="00A82585" w:rsidRPr="00991534" w:rsidRDefault="00A82585" w:rsidP="00A8258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A82585" w:rsidRDefault="00A82585" w:rsidP="00A82585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المراجع والمصادر</w:t>
      </w:r>
    </w:p>
    <w:p w:rsidR="00A82585" w:rsidRDefault="00A82585" w:rsidP="00A8258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النحو) ، تحقيق طه عبد الرؤوف سعد، مكتبة الصفا، 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A82585" w:rsidRDefault="00A82585" w:rsidP="00A8258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محمود فجال، 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(الإصباح في شرح الاقتراح)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 دار القلم، 1989م.</w:t>
      </w:r>
    </w:p>
    <w:p w:rsidR="00A82585" w:rsidRDefault="00A82585" w:rsidP="00A8258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تحقيق محمد علي النجار، دار الكتاب العربي، 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A82585" w:rsidRDefault="00A82585" w:rsidP="00A8258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أبي البركات 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تحقيق سعيد الأفغاني ، مطبعة الجامعة السورية، 1957م.</w:t>
      </w:r>
    </w:p>
    <w:p w:rsidR="00A82585" w:rsidRDefault="00A82585" w:rsidP="00A8258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سعيد 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(في أصول النحو)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،بيروت، المكتب الإسلامي، 1987م. </w:t>
      </w:r>
    </w:p>
    <w:p w:rsidR="00A82585" w:rsidRDefault="00A82585" w:rsidP="00A8258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قنبر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 تحقيق عبد السلام هارون ، الهيئة المصرية العامة للكتاب، 1977م.</w:t>
      </w:r>
    </w:p>
    <w:p w:rsidR="00A82585" w:rsidRDefault="00A82585" w:rsidP="00A8258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أبي البركات 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تحقيق سعيد الأفغاني، مطبعة الجامعة السورية،  1957م.</w:t>
      </w:r>
    </w:p>
    <w:p w:rsidR="00A82585" w:rsidRDefault="00A82585" w:rsidP="00A8258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سعيد 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(من تاريخ النحو)،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دار الفكر، 1978م.</w:t>
      </w:r>
    </w:p>
    <w:p w:rsidR="00A82585" w:rsidRDefault="00A82585" w:rsidP="00A8258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مازن 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(النحو العربي  العلة النحوية نشأتها وتطورها)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دار الفكر، 1981م.</w:t>
      </w:r>
    </w:p>
    <w:p w:rsidR="00A82585" w:rsidRDefault="00A82585" w:rsidP="00A82585">
      <w:pPr>
        <w:pStyle w:val="a4"/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القاهرة، مطبعة وادي الملوك، 1954م.</w:t>
      </w:r>
    </w:p>
    <w:p w:rsidR="00991534" w:rsidRPr="00A82585" w:rsidRDefault="00991534" w:rsidP="00A82585">
      <w:pPr>
        <w:widowControl w:val="0"/>
        <w:spacing w:after="120" w:line="240" w:lineRule="auto"/>
        <w:jc w:val="center"/>
        <w:rPr>
          <w:lang w:bidi="ar-EG"/>
        </w:rPr>
      </w:pPr>
    </w:p>
    <w:sectPr w:rsidR="00991534" w:rsidRPr="00A82585" w:rsidSect="00A82585">
      <w:type w:val="continuous"/>
      <w:pgSz w:w="11906" w:h="16838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534"/>
    <w:rsid w:val="00075FD9"/>
    <w:rsid w:val="000B2293"/>
    <w:rsid w:val="00181D23"/>
    <w:rsid w:val="00215142"/>
    <w:rsid w:val="00505AAE"/>
    <w:rsid w:val="007E639D"/>
    <w:rsid w:val="00953B10"/>
    <w:rsid w:val="00991534"/>
    <w:rsid w:val="00A82585"/>
    <w:rsid w:val="00E7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15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2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7</cp:revision>
  <dcterms:created xsi:type="dcterms:W3CDTF">2013-06-15T00:36:00Z</dcterms:created>
  <dcterms:modified xsi:type="dcterms:W3CDTF">2013-06-16T14:31:00Z</dcterms:modified>
</cp:coreProperties>
</file>