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5D6BB1" w:rsidRDefault="005D6BB1" w:rsidP="005D6BB1">
      <w:pPr>
        <w:jc w:val="center"/>
        <w:rPr>
          <w:sz w:val="48"/>
          <w:szCs w:val="48"/>
          <w:rtl/>
        </w:rPr>
      </w:pPr>
      <w:r w:rsidRPr="005D6BB1">
        <w:rPr>
          <w:rFonts w:ascii="Calibri" w:eastAsia="Calibri" w:hAnsi="Calibri" w:cs="AGA Rasheeq Bold"/>
          <w:sz w:val="48"/>
          <w:szCs w:val="48"/>
          <w:rtl/>
        </w:rPr>
        <w:t>الاستدلال ببيان العلة</w:t>
      </w:r>
    </w:p>
    <w:p w:rsidR="007F745B" w:rsidRDefault="003807A7" w:rsidP="007F745B">
      <w:pPr>
        <w:jc w:val="center"/>
        <w:rPr>
          <w:rFonts w:eastAsia="Times New Roman"/>
          <w:i/>
          <w:iCs/>
        </w:rPr>
      </w:pPr>
      <w:r>
        <w:rPr>
          <w:rFonts w:hint="cs"/>
          <w:rtl/>
        </w:rPr>
        <w:t>بحث فى النحو</w:t>
      </w:r>
      <w:r>
        <w:br/>
      </w:r>
      <w:proofErr w:type="spellStart"/>
      <w:r w:rsidR="007F745B">
        <w:rPr>
          <w:i/>
          <w:iCs/>
          <w:rtl/>
        </w:rPr>
        <w:t>إعداد/</w:t>
      </w:r>
      <w:proofErr w:type="spellEnd"/>
      <w:r w:rsidR="007F745B">
        <w:rPr>
          <w:i/>
          <w:iCs/>
          <w:rtl/>
        </w:rPr>
        <w:t xml:space="preserve"> أيمن محمد أبو بكر</w:t>
      </w:r>
    </w:p>
    <w:p w:rsidR="007F745B" w:rsidRDefault="007F745B" w:rsidP="007F745B">
      <w:pPr>
        <w:jc w:val="center"/>
        <w:rPr>
          <w:i/>
          <w:iCs/>
        </w:rPr>
      </w:pPr>
      <w:r>
        <w:rPr>
          <w:i/>
          <w:iCs/>
          <w:rtl/>
        </w:rPr>
        <w:t>قسم اللغة العربية</w:t>
      </w:r>
    </w:p>
    <w:p w:rsidR="007F745B" w:rsidRDefault="007F745B" w:rsidP="007F745B">
      <w:pPr>
        <w:jc w:val="center"/>
        <w:rPr>
          <w:i/>
          <w:iCs/>
        </w:rPr>
      </w:pPr>
      <w:proofErr w:type="gramStart"/>
      <w:r>
        <w:rPr>
          <w:i/>
          <w:iCs/>
          <w:rtl/>
        </w:rPr>
        <w:t>كلية</w:t>
      </w:r>
      <w:proofErr w:type="gramEnd"/>
      <w:r>
        <w:rPr>
          <w:i/>
          <w:iCs/>
          <w:rtl/>
        </w:rPr>
        <w:t xml:space="preserve"> اللغات </w:t>
      </w:r>
      <w:proofErr w:type="spellStart"/>
      <w:r>
        <w:rPr>
          <w:i/>
          <w:iCs/>
          <w:rtl/>
        </w:rPr>
        <w:t>–</w:t>
      </w:r>
      <w:proofErr w:type="spellEnd"/>
      <w:r>
        <w:rPr>
          <w:i/>
          <w:iCs/>
          <w:rtl/>
        </w:rPr>
        <w:t xml:space="preserve"> جامعة المدينة العالمية</w:t>
      </w:r>
    </w:p>
    <w:p w:rsidR="007F745B" w:rsidRDefault="007F745B" w:rsidP="007F745B">
      <w:pPr>
        <w:jc w:val="center"/>
        <w:rPr>
          <w:i/>
          <w:iCs/>
        </w:rPr>
      </w:pPr>
      <w:r>
        <w:rPr>
          <w:i/>
          <w:iCs/>
          <w:rtl/>
        </w:rPr>
        <w:t xml:space="preserve">شاه علم </w:t>
      </w:r>
      <w:proofErr w:type="spellStart"/>
      <w:r>
        <w:rPr>
          <w:i/>
          <w:iCs/>
          <w:rtl/>
        </w:rPr>
        <w:t>-</w:t>
      </w:r>
      <w:proofErr w:type="spellEnd"/>
      <w:r>
        <w:rPr>
          <w:i/>
          <w:iCs/>
          <w:rtl/>
        </w:rPr>
        <w:t xml:space="preserve"> ماليزيا</w:t>
      </w:r>
    </w:p>
    <w:p w:rsidR="003807A7" w:rsidRPr="007F745B" w:rsidRDefault="007F745B" w:rsidP="007F745B">
      <w:pPr>
        <w:jc w:val="center"/>
        <w:rPr>
          <w:i/>
          <w:iCs/>
        </w:rPr>
      </w:pPr>
      <w:r>
        <w:rPr>
          <w:i/>
          <w:iCs/>
          <w:lang w:bidi="ar-EG"/>
        </w:rPr>
        <w:t>ayman.abobakr@mediu.ws</w:t>
      </w:r>
    </w:p>
    <w:p w:rsidR="005D6BB1" w:rsidRDefault="005D6BB1" w:rsidP="005D6BB1">
      <w:pPr>
        <w:spacing w:line="240" w:lineRule="auto"/>
        <w:rPr>
          <w:rFonts w:asciiTheme="majorBidi" w:hAnsiTheme="majorBidi" w:cstheme="majorBidi"/>
          <w:b/>
          <w:bCs/>
          <w:sz w:val="18"/>
          <w:szCs w:val="18"/>
          <w:rtl/>
        </w:rPr>
        <w:sectPr w:rsidR="005D6BB1" w:rsidSect="007E639D">
          <w:pgSz w:w="11906" w:h="16838"/>
          <w:pgMar w:top="1440" w:right="1440" w:bottom="1440" w:left="1440" w:header="720" w:footer="720" w:gutter="0"/>
          <w:cols w:space="720"/>
          <w:bidi/>
          <w:rtlGutter/>
          <w:docGrid w:linePitch="360"/>
        </w:sectPr>
      </w:pPr>
      <w:r>
        <w:br/>
      </w:r>
    </w:p>
    <w:p w:rsidR="005D6BB1" w:rsidRPr="005D6BB1" w:rsidRDefault="005D6BB1" w:rsidP="005D6BB1">
      <w:pPr>
        <w:spacing w:line="240" w:lineRule="auto"/>
        <w:rPr>
          <w:rFonts w:asciiTheme="majorBidi" w:hAnsiTheme="majorBidi" w:cstheme="majorBidi"/>
          <w:b/>
          <w:bCs/>
          <w:sz w:val="18"/>
          <w:szCs w:val="18"/>
          <w:rtl/>
        </w:rPr>
      </w:pPr>
      <w:r w:rsidRPr="005D6BB1">
        <w:rPr>
          <w:rFonts w:asciiTheme="majorBidi" w:hAnsiTheme="majorBidi" w:cstheme="majorBidi"/>
          <w:b/>
          <w:bCs/>
          <w:sz w:val="18"/>
          <w:szCs w:val="18"/>
          <w:rtl/>
        </w:rPr>
        <w:lastRenderedPageBreak/>
        <w:t xml:space="preserve">الخلاصة – هذا البحث يبحث فى </w:t>
      </w:r>
      <w:r w:rsidRPr="005D6BB1">
        <w:rPr>
          <w:rFonts w:asciiTheme="majorBidi" w:eastAsia="Calibri" w:hAnsiTheme="majorBidi" w:cstheme="majorBidi"/>
          <w:b/>
          <w:bCs/>
          <w:sz w:val="18"/>
          <w:szCs w:val="18"/>
          <w:rtl/>
        </w:rPr>
        <w:t>الاستدلال ببيان العلة</w:t>
      </w:r>
      <w:r w:rsidRPr="005D6BB1">
        <w:rPr>
          <w:rFonts w:asciiTheme="majorBidi" w:hAnsiTheme="majorBidi" w:cstheme="majorBidi"/>
          <w:b/>
          <w:bCs/>
          <w:sz w:val="18"/>
          <w:szCs w:val="18"/>
        </w:rPr>
        <w:br/>
      </w:r>
      <w:r w:rsidRPr="005D6BB1">
        <w:rPr>
          <w:rFonts w:asciiTheme="majorBidi" w:hAnsiTheme="majorBidi" w:cstheme="majorBidi"/>
          <w:b/>
          <w:bCs/>
          <w:sz w:val="18"/>
          <w:szCs w:val="18"/>
          <w:rtl/>
        </w:rPr>
        <w:t>الكلمات المفتاحية –</w:t>
      </w:r>
      <w:r>
        <w:rPr>
          <w:rFonts w:asciiTheme="majorBidi" w:hAnsiTheme="majorBidi" w:cstheme="majorBidi" w:hint="cs"/>
          <w:b/>
          <w:bCs/>
          <w:sz w:val="18"/>
          <w:szCs w:val="18"/>
          <w:rtl/>
          <w:lang w:bidi="ar-EG"/>
        </w:rPr>
        <w:t>الدليل</w:t>
      </w:r>
      <w:r w:rsidRPr="005D6BB1">
        <w:rPr>
          <w:rFonts w:asciiTheme="majorBidi" w:hAnsiTheme="majorBidi" w:cstheme="majorBidi"/>
          <w:b/>
          <w:bCs/>
          <w:sz w:val="18"/>
          <w:szCs w:val="18"/>
          <w:rtl/>
        </w:rPr>
        <w:t xml:space="preserve">، </w:t>
      </w:r>
      <w:r>
        <w:rPr>
          <w:rFonts w:asciiTheme="majorBidi" w:hAnsiTheme="majorBidi" w:cstheme="majorBidi" w:hint="cs"/>
          <w:b/>
          <w:bCs/>
          <w:sz w:val="18"/>
          <w:szCs w:val="18"/>
          <w:rtl/>
        </w:rPr>
        <w:t>عله الحكم</w:t>
      </w:r>
      <w:r w:rsidRPr="005D6BB1">
        <w:rPr>
          <w:rFonts w:asciiTheme="majorBidi" w:hAnsiTheme="majorBidi" w:cstheme="majorBidi"/>
          <w:b/>
          <w:bCs/>
          <w:sz w:val="18"/>
          <w:szCs w:val="18"/>
          <w:rtl/>
        </w:rPr>
        <w:t xml:space="preserve"> ،</w:t>
      </w:r>
      <w:r>
        <w:rPr>
          <w:rFonts w:asciiTheme="majorBidi" w:hAnsiTheme="majorBidi" w:cstheme="majorBidi" w:hint="cs"/>
          <w:b/>
          <w:bCs/>
          <w:sz w:val="18"/>
          <w:szCs w:val="18"/>
          <w:rtl/>
        </w:rPr>
        <w:t>إثبات الحكم</w:t>
      </w:r>
      <w:r w:rsidRPr="005D6BB1">
        <w:rPr>
          <w:rFonts w:asciiTheme="majorBidi" w:hAnsiTheme="majorBidi" w:cstheme="majorBidi"/>
          <w:b/>
          <w:bCs/>
          <w:sz w:val="18"/>
          <w:szCs w:val="18"/>
          <w:rtl/>
        </w:rPr>
        <w:t xml:space="preserve"> </w:t>
      </w:r>
    </w:p>
    <w:p w:rsidR="005D6BB1" w:rsidRPr="005D6BB1" w:rsidRDefault="005D6BB1" w:rsidP="005D6BB1">
      <w:pPr>
        <w:pStyle w:val="a3"/>
        <w:jc w:val="center"/>
        <w:rPr>
          <w:rFonts w:asciiTheme="majorBidi" w:hAnsiTheme="majorBidi" w:cstheme="majorBidi"/>
          <w:b/>
          <w:bCs/>
          <w:sz w:val="18"/>
          <w:szCs w:val="18"/>
          <w:lang w:bidi="ar-EG"/>
        </w:rPr>
      </w:pPr>
      <w:r w:rsidRPr="005D6BB1">
        <w:rPr>
          <w:rFonts w:asciiTheme="majorBidi" w:hAnsiTheme="majorBidi" w:cstheme="majorBidi"/>
          <w:b/>
          <w:bCs/>
          <w:sz w:val="18"/>
          <w:szCs w:val="18"/>
          <w:rtl/>
        </w:rPr>
        <w:t>المقدمة</w:t>
      </w:r>
      <w:r w:rsidRPr="005D6BB1">
        <w:rPr>
          <w:rFonts w:asciiTheme="majorBidi" w:hAnsiTheme="majorBidi" w:cstheme="majorBidi"/>
          <w:b/>
          <w:bCs/>
          <w:sz w:val="18"/>
          <w:szCs w:val="18"/>
          <w:lang w:bidi="ar-EG"/>
        </w:rPr>
        <w:t>.I</w:t>
      </w:r>
    </w:p>
    <w:p w:rsidR="005D6BB1" w:rsidRPr="005D6BB1" w:rsidRDefault="005D6BB1" w:rsidP="005D6BB1">
      <w:pPr>
        <w:spacing w:line="240" w:lineRule="auto"/>
        <w:rPr>
          <w:rFonts w:asciiTheme="majorBidi" w:hAnsiTheme="majorBidi" w:cstheme="majorBidi"/>
          <w:b/>
          <w:bCs/>
          <w:sz w:val="18"/>
          <w:szCs w:val="18"/>
          <w:rtl/>
        </w:rPr>
      </w:pPr>
      <w:r w:rsidRPr="005D6BB1">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5D6BB1">
        <w:rPr>
          <w:rFonts w:asciiTheme="majorBidi" w:eastAsia="Calibri" w:hAnsiTheme="majorBidi" w:cstheme="majorBidi"/>
          <w:b/>
          <w:bCs/>
          <w:sz w:val="18"/>
          <w:szCs w:val="18"/>
          <w:rtl/>
        </w:rPr>
        <w:t>الاستدلال ببيان العلة</w:t>
      </w:r>
    </w:p>
    <w:p w:rsidR="005D6BB1" w:rsidRPr="005D6BB1" w:rsidRDefault="005D6BB1" w:rsidP="003807A7">
      <w:pPr>
        <w:pStyle w:val="a3"/>
        <w:jc w:val="center"/>
        <w:rPr>
          <w:rFonts w:asciiTheme="majorBidi" w:hAnsiTheme="majorBidi" w:cstheme="majorBidi"/>
          <w:b/>
          <w:bCs/>
          <w:sz w:val="18"/>
          <w:szCs w:val="18"/>
        </w:rPr>
      </w:pPr>
      <w:r w:rsidRPr="005D6BB1">
        <w:rPr>
          <w:rFonts w:asciiTheme="majorBidi" w:hAnsiTheme="majorBidi" w:cstheme="majorBidi"/>
          <w:b/>
          <w:bCs/>
          <w:sz w:val="18"/>
          <w:szCs w:val="18"/>
          <w:rtl/>
        </w:rPr>
        <w:t>.</w:t>
      </w:r>
      <w:r w:rsidR="003807A7">
        <w:rPr>
          <w:rFonts w:asciiTheme="majorBidi" w:hAnsiTheme="majorBidi" w:cstheme="majorBidi" w:hint="cs"/>
          <w:b/>
          <w:bCs/>
          <w:sz w:val="18"/>
          <w:szCs w:val="18"/>
          <w:rtl/>
        </w:rPr>
        <w:t>موضوع</w:t>
      </w:r>
      <w:r w:rsidRPr="005D6BB1">
        <w:rPr>
          <w:rFonts w:asciiTheme="majorBidi" w:hAnsiTheme="majorBidi" w:cstheme="majorBidi"/>
          <w:b/>
          <w:bCs/>
          <w:sz w:val="18"/>
          <w:szCs w:val="18"/>
          <w:rtl/>
        </w:rPr>
        <w:t xml:space="preserve"> المقال</w:t>
      </w:r>
      <w:r w:rsidRPr="005D6BB1">
        <w:rPr>
          <w:rFonts w:asciiTheme="majorBidi" w:hAnsiTheme="majorBidi" w:cstheme="majorBidi"/>
          <w:b/>
          <w:bCs/>
          <w:sz w:val="18"/>
          <w:szCs w:val="18"/>
        </w:rPr>
        <w:t xml:space="preserve"> II</w:t>
      </w:r>
    </w:p>
    <w:p w:rsidR="005D6BB1" w:rsidRPr="005D6BB1" w:rsidRDefault="005D6BB1" w:rsidP="005D6BB1">
      <w:pPr>
        <w:pStyle w:val="a3"/>
        <w:bidi/>
        <w:spacing w:before="0" w:beforeAutospacing="0" w:after="120" w:afterAutospacing="0"/>
        <w:jc w:val="lowKashida"/>
        <w:rPr>
          <w:rFonts w:asciiTheme="majorBidi" w:hAnsiTheme="majorBidi" w:cstheme="majorBidi"/>
          <w:b/>
          <w:bCs/>
          <w:sz w:val="18"/>
          <w:szCs w:val="18"/>
        </w:rPr>
      </w:pPr>
      <w:r w:rsidRPr="005D6BB1">
        <w:rPr>
          <w:rFonts w:asciiTheme="majorBidi" w:hAnsiTheme="majorBidi" w:cstheme="majorBidi"/>
          <w:b/>
          <w:bCs/>
          <w:sz w:val="18"/>
          <w:szCs w:val="18"/>
          <w:rtl/>
        </w:rPr>
        <w:t>إن السيوطي قد اعتمد في مادة هذا الدليل على ما أورده أبو البركات الأنباري في الفصل الرابع والعشرين من كتابه (لمع الأدلة) وعنوانه: ما يلحق بالقياس من وجوه الاستدلال، وذكر في هذا الفصل: أن الاستدلال ببيان العلة هو أحد أدلة النحو غير الغالبة، وجعله مما يكثر التمسك به، وعليه عوَّل السيوطي في كتابه (الاقتراح) تعويلًا كاملًا؛ إذ نقل كلام الأنباري الذي ذكر فيه: أن بيان العلة قد يكون دليلًا يُستدَل به ويعتمد عليه عند الخلاف في إثبات حكم من الأحكام النحوية أو نفيه؛ فيكون وجود العلة دليلًا على وجود الحكم ويكون عدمها دليلًا على نفي الحكم وعدم وجوده، وذكر أن الاستدلال ببيان العلة يكون على وجهين:</w:t>
      </w:r>
    </w:p>
    <w:p w:rsidR="005D6BB1" w:rsidRPr="005D6BB1" w:rsidRDefault="005D6BB1" w:rsidP="005D6BB1">
      <w:pPr>
        <w:pStyle w:val="a3"/>
        <w:bidi/>
        <w:spacing w:before="0" w:beforeAutospacing="0" w:after="120" w:afterAutospacing="0"/>
        <w:jc w:val="lowKashida"/>
        <w:rPr>
          <w:rFonts w:asciiTheme="majorBidi" w:hAnsiTheme="majorBidi" w:cstheme="majorBidi"/>
          <w:b/>
          <w:bCs/>
          <w:sz w:val="18"/>
          <w:szCs w:val="18"/>
        </w:rPr>
      </w:pPr>
      <w:r w:rsidRPr="005D6BB1">
        <w:rPr>
          <w:rFonts w:asciiTheme="majorBidi" w:hAnsiTheme="majorBidi" w:cstheme="majorBidi"/>
          <w:b/>
          <w:bCs/>
          <w:sz w:val="18"/>
          <w:szCs w:val="18"/>
          <w:rtl/>
        </w:rPr>
        <w:t>الأول: أن يبين علة الحكم ويستدل بوجودها في موضع الخلاف؛ ليوجد بها الحكم.</w:t>
      </w:r>
    </w:p>
    <w:p w:rsidR="005D6BB1" w:rsidRPr="005D6BB1" w:rsidRDefault="005D6BB1" w:rsidP="005D6BB1">
      <w:pPr>
        <w:pStyle w:val="a3"/>
        <w:bidi/>
        <w:spacing w:before="0" w:beforeAutospacing="0" w:after="120" w:afterAutospacing="0"/>
        <w:jc w:val="lowKashida"/>
        <w:rPr>
          <w:rFonts w:asciiTheme="majorBidi" w:hAnsiTheme="majorBidi" w:cstheme="majorBidi"/>
          <w:b/>
          <w:bCs/>
          <w:sz w:val="18"/>
          <w:szCs w:val="18"/>
        </w:rPr>
      </w:pPr>
      <w:r w:rsidRPr="005D6BB1">
        <w:rPr>
          <w:rFonts w:asciiTheme="majorBidi" w:hAnsiTheme="majorBidi" w:cstheme="majorBidi"/>
          <w:b/>
          <w:bCs/>
          <w:sz w:val="18"/>
          <w:szCs w:val="18"/>
          <w:rtl/>
        </w:rPr>
        <w:t>الثاني: أن يبين علة الحكم ثم يستدل بعدمها في موضع الخلاف؛ ليعدم الحكم... انتهى.</w:t>
      </w:r>
    </w:p>
    <w:p w:rsidR="005D6BB1" w:rsidRPr="005D6BB1" w:rsidRDefault="005D6BB1" w:rsidP="005D6BB1">
      <w:pPr>
        <w:pStyle w:val="a3"/>
        <w:bidi/>
        <w:spacing w:before="0" w:beforeAutospacing="0" w:after="120" w:afterAutospacing="0"/>
        <w:jc w:val="lowKashida"/>
        <w:rPr>
          <w:rFonts w:asciiTheme="majorBidi" w:hAnsiTheme="majorBidi" w:cstheme="majorBidi"/>
          <w:b/>
          <w:bCs/>
          <w:sz w:val="18"/>
          <w:szCs w:val="18"/>
        </w:rPr>
      </w:pPr>
      <w:r w:rsidRPr="005D6BB1">
        <w:rPr>
          <w:rFonts w:asciiTheme="majorBidi" w:hAnsiTheme="majorBidi" w:cstheme="majorBidi"/>
          <w:b/>
          <w:bCs/>
          <w:sz w:val="18"/>
          <w:szCs w:val="18"/>
          <w:rtl/>
        </w:rPr>
        <w:t>ومعنى ما قاله الأنباري ونقله عنه السيوطي: أن المستدل يكثر تمسكه بهذا الدليل -وهو بيان العلة- في مواضع الخلاف؛ فيثبت حكمًا وينفي آخر، يثبت بوجود علته وينفي آخر لانتفاء علته؛ إذ إن الحكم يدور مع العلة وجودًا وعدمًا؛ لأنه كلما وُجدت العلة وُجد ذلك الحكم وإن انتفت العلة انتفى الحكم.</w:t>
      </w:r>
    </w:p>
    <w:p w:rsidR="005D6BB1" w:rsidRPr="005D6BB1" w:rsidRDefault="005D6BB1" w:rsidP="005D6BB1">
      <w:pPr>
        <w:pStyle w:val="a3"/>
        <w:bidi/>
        <w:spacing w:before="0" w:beforeAutospacing="0" w:after="120" w:afterAutospacing="0"/>
        <w:jc w:val="lowKashida"/>
        <w:rPr>
          <w:rFonts w:asciiTheme="majorBidi" w:hAnsiTheme="majorBidi" w:cstheme="majorBidi"/>
          <w:b/>
          <w:bCs/>
          <w:sz w:val="18"/>
          <w:szCs w:val="18"/>
        </w:rPr>
      </w:pPr>
      <w:r w:rsidRPr="005D6BB1">
        <w:rPr>
          <w:rFonts w:asciiTheme="majorBidi" w:hAnsiTheme="majorBidi" w:cstheme="majorBidi"/>
          <w:b/>
          <w:bCs/>
          <w:sz w:val="18"/>
          <w:szCs w:val="18"/>
          <w:rtl/>
        </w:rPr>
        <w:t>وإذا كان الأنباري قد ذكر أن الاستدلال ببيان العلة يكون من وجهين وهما: إثبات الحكم، ونفيه؛ فإنه قد مثل لكل وجه منهما بمثال:</w:t>
      </w:r>
    </w:p>
    <w:p w:rsidR="005D6BB1" w:rsidRPr="005D6BB1" w:rsidRDefault="005D6BB1" w:rsidP="005D6BB1">
      <w:pPr>
        <w:pStyle w:val="a3"/>
        <w:bidi/>
        <w:spacing w:before="0" w:beforeAutospacing="0" w:after="120" w:afterAutospacing="0"/>
        <w:jc w:val="lowKashida"/>
        <w:rPr>
          <w:rFonts w:asciiTheme="majorBidi" w:hAnsiTheme="majorBidi" w:cstheme="majorBidi"/>
          <w:b/>
          <w:bCs/>
          <w:sz w:val="18"/>
          <w:szCs w:val="18"/>
        </w:rPr>
      </w:pPr>
      <w:r w:rsidRPr="005D6BB1">
        <w:rPr>
          <w:rFonts w:asciiTheme="majorBidi" w:hAnsiTheme="majorBidi" w:cstheme="majorBidi"/>
          <w:b/>
          <w:bCs/>
          <w:sz w:val="18"/>
          <w:szCs w:val="18"/>
          <w:rtl/>
        </w:rPr>
        <w:t>أما الوجه الأول -وهو الاستدلال بوجود العلة على وجود الحكم- فمثاله: أن يستدل من أعمل اسم الفاعل إذا كان بمعنى الماضي فيقول: إنما عمل اسم الفاعل في محل الإجماع لجريانه على حركة الفعل وسكونه، وهذا جارٍ على حركة الفعل وسكونه فوجب أن يكون عاملًا... انتهى.</w:t>
      </w:r>
    </w:p>
    <w:p w:rsidR="005D6BB1" w:rsidRPr="005D6BB1" w:rsidRDefault="005D6BB1" w:rsidP="005D6BB1">
      <w:pPr>
        <w:pStyle w:val="a3"/>
        <w:bidi/>
        <w:spacing w:before="0" w:beforeAutospacing="0" w:after="120" w:afterAutospacing="0"/>
        <w:jc w:val="lowKashida"/>
        <w:rPr>
          <w:rFonts w:asciiTheme="majorBidi" w:hAnsiTheme="majorBidi" w:cstheme="majorBidi"/>
          <w:b/>
          <w:bCs/>
          <w:sz w:val="18"/>
          <w:szCs w:val="18"/>
        </w:rPr>
      </w:pPr>
      <w:r w:rsidRPr="005D6BB1">
        <w:rPr>
          <w:rFonts w:asciiTheme="majorBidi" w:hAnsiTheme="majorBidi" w:cstheme="majorBidi"/>
          <w:b/>
          <w:bCs/>
          <w:sz w:val="18"/>
          <w:szCs w:val="18"/>
          <w:rtl/>
        </w:rPr>
        <w:t>ولتوضيح هذا المثال الذي ذكره الأنباري نقول: إنه لا خلاف بين النحاة في إعمال اسم الفاعل إذا كان للحال أو للاستقبال؛ لأنه في هذه الحالة يكون موافقًا للفعل الموافق له في اللفظ -وهو الفعل المضارع- يكون موافقًا له أيضًا في المعنى -وهو الزمن: الدلالة على الحال أو الاستقبال- فإن كان اسم الفاعل بمعنى الماضي فقد ذهب جمهور النحويين من البصريين والكوفيين إلى أنه لا يجوز إعماله؛ فلا يجوز: "هذا ضاربٌ زيدًا أمسِ"؛ بل يجب أن يقال: "هذا ضاربُ زيدٍ أمسِ"، بالإضافة على سبيل الوجوب؛ لأنه فقد الشبه بالفعل المضارع في المعنى.</w:t>
      </w:r>
    </w:p>
    <w:p w:rsidR="005D6BB1" w:rsidRPr="005D6BB1" w:rsidRDefault="005D6BB1" w:rsidP="005D6BB1">
      <w:pPr>
        <w:pStyle w:val="a3"/>
        <w:bidi/>
        <w:spacing w:before="0" w:beforeAutospacing="0" w:after="120" w:afterAutospacing="0"/>
        <w:jc w:val="lowKashida"/>
        <w:rPr>
          <w:rFonts w:asciiTheme="majorBidi" w:hAnsiTheme="majorBidi" w:cstheme="majorBidi"/>
          <w:b/>
          <w:bCs/>
          <w:sz w:val="18"/>
          <w:szCs w:val="18"/>
        </w:rPr>
      </w:pPr>
      <w:r w:rsidRPr="005D6BB1">
        <w:rPr>
          <w:rFonts w:asciiTheme="majorBidi" w:hAnsiTheme="majorBidi" w:cstheme="majorBidi"/>
          <w:b/>
          <w:bCs/>
          <w:sz w:val="18"/>
          <w:szCs w:val="18"/>
          <w:rtl/>
        </w:rPr>
        <w:lastRenderedPageBreak/>
        <w:t>وخالف في ذلك الكسائي وحده؛ فأجاز إعمال اسم الفاعل إذا كان بمعنى الماضي، ويجوز لمن يرى إعمال اسم الفاعل إذا كان بمعنى الماضي -كالكسائي ومن سار على دربه واتبع نهجه- أن يستدل على صحة رأيه ببيان العلة؛ فيقول: إن العلة التي من أجلها عمل اسم الفاعل عمل فعله: هي أنه يساوي فعل المضارع في حركاته وسكناته؛ فقولنا: يضرب، يساوي قولنا: ضارب، في الحركات والسكنات، وقولنا: يضرب، يساوي قولنا: ضارب، في الحركات والسكنات أيضًا... وهكذا؛ فهو جارٍ على الفعل في حركاته وسكناته، وهذه العلة موجودة في اسم الفاعل، أي: أنه يجري على حركات المضارع وسكناته، يوافقه في حركاته وسكناته؛ سواء أكان بمعنى الماضي، أم كان بمعنى الحال، أم كان بمعنى الاستقبال، وإذا كان الأمر كذلك صح أن يعمل اسم الفاعل عمل فعله في الزمن الماضي لوجود العلة فيه؛ وبذلك يكون بيان العلة دليلًا يثبت به حكم من الأحكام، وهو: إعمال اسم الفاعل في الماضي.</w:t>
      </w:r>
    </w:p>
    <w:p w:rsidR="005D6BB1" w:rsidRPr="005D6BB1" w:rsidRDefault="005D6BB1" w:rsidP="005D6BB1">
      <w:pPr>
        <w:pStyle w:val="a3"/>
        <w:bidi/>
        <w:spacing w:before="0" w:beforeAutospacing="0" w:after="120" w:afterAutospacing="0"/>
        <w:jc w:val="lowKashida"/>
        <w:rPr>
          <w:rFonts w:asciiTheme="majorBidi" w:hAnsiTheme="majorBidi" w:cstheme="majorBidi"/>
          <w:b/>
          <w:bCs/>
          <w:sz w:val="18"/>
          <w:szCs w:val="18"/>
        </w:rPr>
      </w:pPr>
      <w:r w:rsidRPr="005D6BB1">
        <w:rPr>
          <w:rFonts w:asciiTheme="majorBidi" w:hAnsiTheme="majorBidi" w:cstheme="majorBidi"/>
          <w:b/>
          <w:bCs/>
          <w:sz w:val="18"/>
          <w:szCs w:val="18"/>
          <w:rtl/>
        </w:rPr>
        <w:t>وإذ انتهينا من معرفة أن بيان العلة يكون بيانًا يثبت به إعمال اسم الفاعل في الماضي؛ يحسن بنا أن نشير إلى أن الراجح في هذه المسألة هو مذهب الجمهور، وأن مذهب الكسائي مرغوب عنه؛ لأن اسم الفاعل قد عمل عمل فعله لمجموع أمرين؛ وهما: المعنى، والشبه له من جهة اللفظ؛ فقولنا: هذا مكرمٌ عمرًا غدًا؛ فـ"مكرمٌ" بمنزلة "يكرم" في المعنى؛ بحيث يمكن إحلال الفعل "يكرم" محله، والمعنى -أي: من ناحية الزمن- يكون واحدًا، وهو مثله في اللفظ أيضًا، لا فرق بينهما في الحركات والسكنات والأصول والزيادة؛ إلا أن الفعل أحد أحرف المضارعة، والأول من اسم الفاعل هو الميم المضمومة، واسم الفاعل إذا كان بمعنى الماضي لا يعمل؛ لأنك إذا قلت: "هذا ضاربٌ زيدًا أمس"، كان في معنى "ضرب" وليس مثله في اللفظ لا في الحركات ولا في السكنات ولا في عدد الحروف.</w:t>
      </w:r>
    </w:p>
    <w:p w:rsidR="005D6BB1" w:rsidRPr="005D6BB1" w:rsidRDefault="005D6BB1" w:rsidP="005D6BB1">
      <w:pPr>
        <w:pStyle w:val="a3"/>
        <w:bidi/>
        <w:spacing w:before="0" w:beforeAutospacing="0" w:after="120" w:afterAutospacing="0"/>
        <w:jc w:val="lowKashida"/>
        <w:rPr>
          <w:rFonts w:asciiTheme="majorBidi" w:hAnsiTheme="majorBidi" w:cstheme="majorBidi"/>
          <w:b/>
          <w:bCs/>
          <w:sz w:val="18"/>
          <w:szCs w:val="18"/>
        </w:rPr>
      </w:pPr>
      <w:r w:rsidRPr="005D6BB1">
        <w:rPr>
          <w:rFonts w:asciiTheme="majorBidi" w:hAnsiTheme="majorBidi" w:cstheme="majorBidi"/>
          <w:b/>
          <w:bCs/>
          <w:sz w:val="18"/>
          <w:szCs w:val="18"/>
          <w:rtl/>
        </w:rPr>
        <w:t>وأما الوجه الثاني: وهو الاستدلال بنفي العلة على نفي الحكم؛ فمثاله: أن يستدل من أبطل عمل "إنْ" المخففة من الثقيلة؛ فيقول: إنَّما عملت "إنَّ" الثقيلة لشبهها بالفعل، وقد عدم هذا الشبه بالتخفيف؛ فوجب ألا تعمل.</w:t>
      </w:r>
    </w:p>
    <w:p w:rsidR="005D6BB1" w:rsidRPr="005D6BB1" w:rsidRDefault="005D6BB1" w:rsidP="005D6BB1">
      <w:pPr>
        <w:pStyle w:val="a3"/>
        <w:bidi/>
        <w:spacing w:before="0" w:beforeAutospacing="0" w:after="120" w:afterAutospacing="0"/>
        <w:jc w:val="lowKashida"/>
        <w:rPr>
          <w:rFonts w:asciiTheme="majorBidi" w:hAnsiTheme="majorBidi" w:cstheme="majorBidi"/>
          <w:b/>
          <w:bCs/>
          <w:sz w:val="18"/>
          <w:szCs w:val="18"/>
        </w:rPr>
      </w:pPr>
      <w:r w:rsidRPr="005D6BB1">
        <w:rPr>
          <w:rFonts w:asciiTheme="majorBidi" w:hAnsiTheme="majorBidi" w:cstheme="majorBidi"/>
          <w:b/>
          <w:bCs/>
          <w:sz w:val="18"/>
          <w:szCs w:val="18"/>
          <w:rtl/>
        </w:rPr>
        <w:t>ولتوضيح هذا المثال الذي ذكره الأنباري نقول: إن "إنَّ" المثقلة من الأحرف الناسخة التي تنصب المبتدأ اسمًا لها وترفع الخبر خبرًا لها، ولا خلاف بين النحويين في إعمالها وهي مثقلة، وقد ذكر النحويون أن علة إعمال "إنَّ" وأخواتها: شبهها بالفعل من جهتي اللفظ والمعنى، وأن أهم أوجه الشبه: أنها موضوعة على ثلاثة أحرف كما أن أغلب الأفعال كذلك، وأنها مبنية على الفتح كما أن الفعل الماضي كذلك، وأنها تلزم الدخول على الأسماء كما أن الأفعال كذلك، وأنها تدخل عليها نون الوقاية مثل: إنني، وكأنني، ولكنني... إلى آخره، والفعل كذلك، تقول: أفهمني، وعلمني... إلى آخره، وأنها يتصل بها المضمر المنصوب ويتعلق بها كتعلقه بالفعل؛ تقول: إنه، وإنها، وإنك، وإنني، كما تقول: أكرمته، وأكرمتها، وأكرمتك، وأكرمتني، وأن فيها معاني الأفعال؛ فمعنى "إنَّ" و"أنَّ": حققت، ومعنى "كأنَّ": شبهت، ومعنى: "لكنَّ": استدركت، ومعنى "ليت": تمنيت، ومعنى "لعل": ترجيت؛ فإذا خففت جاز فيها وجهان:</w:t>
      </w:r>
    </w:p>
    <w:p w:rsidR="005D6BB1" w:rsidRPr="005D6BB1" w:rsidRDefault="005D6BB1" w:rsidP="005D6BB1">
      <w:pPr>
        <w:pStyle w:val="a3"/>
        <w:bidi/>
        <w:spacing w:after="120" w:afterAutospacing="0"/>
        <w:jc w:val="lowKashida"/>
        <w:rPr>
          <w:rFonts w:asciiTheme="majorBidi" w:hAnsiTheme="majorBidi" w:cstheme="majorBidi"/>
          <w:b/>
          <w:bCs/>
          <w:sz w:val="18"/>
          <w:szCs w:val="18"/>
        </w:rPr>
      </w:pPr>
      <w:r w:rsidRPr="005D6BB1">
        <w:rPr>
          <w:rFonts w:asciiTheme="majorBidi" w:hAnsiTheme="majorBidi" w:cstheme="majorBidi"/>
          <w:b/>
          <w:bCs/>
          <w:sz w:val="18"/>
          <w:szCs w:val="18"/>
          <w:rtl/>
        </w:rPr>
        <w:t>الأول: إبقاؤها على ما كانت عليه من الإعمال، وهو قليل في لسان العرب.</w:t>
      </w:r>
    </w:p>
    <w:p w:rsidR="005D6BB1" w:rsidRPr="005D6BB1" w:rsidRDefault="005D6BB1" w:rsidP="005D6BB1">
      <w:pPr>
        <w:pStyle w:val="a3"/>
        <w:bidi/>
        <w:spacing w:after="120" w:afterAutospacing="0"/>
        <w:jc w:val="lowKashida"/>
        <w:rPr>
          <w:rFonts w:asciiTheme="majorBidi" w:hAnsiTheme="majorBidi" w:cstheme="majorBidi"/>
          <w:b/>
          <w:bCs/>
          <w:sz w:val="18"/>
          <w:szCs w:val="18"/>
        </w:rPr>
      </w:pPr>
      <w:r w:rsidRPr="005D6BB1">
        <w:rPr>
          <w:rFonts w:asciiTheme="majorBidi" w:hAnsiTheme="majorBidi" w:cstheme="majorBidi"/>
          <w:b/>
          <w:bCs/>
          <w:sz w:val="18"/>
          <w:szCs w:val="18"/>
          <w:rtl/>
        </w:rPr>
        <w:t>الثاني: إهمالها، وهو الأكثر.</w:t>
      </w:r>
    </w:p>
    <w:p w:rsidR="005D6BB1" w:rsidRPr="005D6BB1" w:rsidRDefault="005D6BB1" w:rsidP="005D6BB1">
      <w:pPr>
        <w:pStyle w:val="a3"/>
        <w:bidi/>
        <w:spacing w:before="0" w:beforeAutospacing="0" w:after="120" w:afterAutospacing="0"/>
        <w:jc w:val="lowKashida"/>
        <w:rPr>
          <w:rFonts w:asciiTheme="majorBidi" w:hAnsiTheme="majorBidi" w:cstheme="majorBidi"/>
          <w:b/>
          <w:bCs/>
          <w:sz w:val="18"/>
          <w:szCs w:val="18"/>
          <w:rtl/>
        </w:rPr>
      </w:pPr>
      <w:r w:rsidRPr="005D6BB1">
        <w:rPr>
          <w:rFonts w:asciiTheme="majorBidi" w:hAnsiTheme="majorBidi" w:cstheme="majorBidi"/>
          <w:b/>
          <w:bCs/>
          <w:sz w:val="18"/>
          <w:szCs w:val="18"/>
          <w:rtl/>
        </w:rPr>
        <w:lastRenderedPageBreak/>
        <w:t xml:space="preserve">ولكل وجهة هو موليها؛ فوجه بقاء الإعمال هو أنها عملت لأنها أشبهت الفعل، وتخفيفها لا يزيل شبهها بالفعل؛ لأن التخفيف حذف، والحذف عارض، والأصل هو الإثبات؛ فالمحذوف كأنه لم يحذف، ووجه الإهمال هو الذي أشار إليه الأنباري إذ ذكر: أنه يجوز لمن أهملها أن يستدل على صحة رأيه ببيان العلة؛ فيقول: إن العلة التي من أجلها عملت "إنَّ" هو شبهها بالفعل في المبنى والمعنى -كما سبق- وقد عدم الشبه بالتخفيف؛ إذ لم يبقَ مبناها كمبنى الفعل؛ فوجب انتفاء إعمالها لانتفاء العلة، وبذلك يكون بيان العلة دليلًا ينتفي به حكم من الأحكام: وهو إعمال "إنْ" المخففة عمل "إنَّ" المثقلة. </w:t>
      </w:r>
    </w:p>
    <w:p w:rsidR="00991CC6" w:rsidRDefault="00991CC6" w:rsidP="00991CC6">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991CC6" w:rsidRDefault="00991CC6" w:rsidP="00991CC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991CC6" w:rsidRDefault="00991CC6" w:rsidP="00991CC6">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991CC6" w:rsidRDefault="00991CC6" w:rsidP="00991CC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991CC6" w:rsidRDefault="00991CC6" w:rsidP="00991CC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991CC6" w:rsidRDefault="00991CC6" w:rsidP="00991CC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991CC6" w:rsidRDefault="00991CC6" w:rsidP="00991CC6">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991CC6" w:rsidRDefault="00991CC6" w:rsidP="00991CC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991CC6" w:rsidRDefault="00991CC6" w:rsidP="00991CC6">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991CC6" w:rsidRDefault="00991CC6" w:rsidP="00991CC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991CC6" w:rsidRDefault="00991CC6" w:rsidP="00991CC6">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5D6BB1" w:rsidRPr="00991CC6" w:rsidRDefault="005D6BB1">
      <w:pPr>
        <w:rPr>
          <w:lang w:bidi="ar-EG"/>
        </w:rPr>
      </w:pPr>
    </w:p>
    <w:sectPr w:rsidR="005D6BB1" w:rsidRPr="00991CC6" w:rsidSect="00991CC6">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BB1"/>
    <w:rsid w:val="00181D23"/>
    <w:rsid w:val="003807A7"/>
    <w:rsid w:val="00591E3C"/>
    <w:rsid w:val="005D6BB1"/>
    <w:rsid w:val="007E639D"/>
    <w:rsid w:val="007F745B"/>
    <w:rsid w:val="00991CC6"/>
    <w:rsid w:val="009B3DE9"/>
    <w:rsid w:val="00C94E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D6B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91CC6"/>
    <w:pPr>
      <w:ind w:left="720"/>
      <w:contextualSpacing/>
    </w:pPr>
  </w:style>
</w:styles>
</file>

<file path=word/webSettings.xml><?xml version="1.0" encoding="utf-8"?>
<w:webSettings xmlns:r="http://schemas.openxmlformats.org/officeDocument/2006/relationships" xmlns:w="http://schemas.openxmlformats.org/wordprocessingml/2006/main">
  <w:divs>
    <w:div w:id="370881400">
      <w:bodyDiv w:val="1"/>
      <w:marLeft w:val="0"/>
      <w:marRight w:val="0"/>
      <w:marTop w:val="0"/>
      <w:marBottom w:val="0"/>
      <w:divBdr>
        <w:top w:val="none" w:sz="0" w:space="0" w:color="auto"/>
        <w:left w:val="none" w:sz="0" w:space="0" w:color="auto"/>
        <w:bottom w:val="none" w:sz="0" w:space="0" w:color="auto"/>
        <w:right w:val="none" w:sz="0" w:space="0" w:color="auto"/>
      </w:divBdr>
    </w:div>
    <w:div w:id="1067530566">
      <w:bodyDiv w:val="1"/>
      <w:marLeft w:val="0"/>
      <w:marRight w:val="0"/>
      <w:marTop w:val="0"/>
      <w:marBottom w:val="0"/>
      <w:divBdr>
        <w:top w:val="none" w:sz="0" w:space="0" w:color="auto"/>
        <w:left w:val="none" w:sz="0" w:space="0" w:color="auto"/>
        <w:bottom w:val="none" w:sz="0" w:space="0" w:color="auto"/>
        <w:right w:val="none" w:sz="0" w:space="0" w:color="auto"/>
      </w:divBdr>
    </w:div>
    <w:div w:id="112593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2013-06-15T01:05:00Z</dcterms:created>
  <dcterms:modified xsi:type="dcterms:W3CDTF">2013-06-16T14:44:00Z</dcterms:modified>
</cp:coreProperties>
</file>