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194A5B" w:rsidRDefault="00194A5B" w:rsidP="00194A5B">
      <w:pPr>
        <w:jc w:val="center"/>
        <w:rPr>
          <w:rFonts w:hint="cs"/>
          <w:sz w:val="48"/>
          <w:szCs w:val="48"/>
          <w:rtl/>
        </w:rPr>
      </w:pPr>
      <w:r w:rsidRPr="00194A5B">
        <w:rPr>
          <w:rFonts w:ascii="Calibri" w:eastAsia="Calibri" w:hAnsi="Calibri" w:cs="AGA Rasheeq Bold"/>
          <w:sz w:val="48"/>
          <w:szCs w:val="48"/>
          <w:rtl/>
        </w:rPr>
        <w:t>هل أسماء الله تعالى توقيفية أم اصطلاحية؟</w:t>
      </w:r>
    </w:p>
    <w:p w:rsidR="00194A5B" w:rsidRPr="000E43A1" w:rsidRDefault="00194A5B" w:rsidP="00194A5B">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194A5B" w:rsidRPr="000E43A1" w:rsidRDefault="00194A5B" w:rsidP="00194A5B">
      <w:pPr>
        <w:pStyle w:val="Author"/>
        <w:bidi/>
        <w:rPr>
          <w:rFonts w:eastAsia="Times New Roman"/>
        </w:rPr>
      </w:pPr>
      <w:r w:rsidRPr="000E43A1">
        <w:rPr>
          <w:rFonts w:hint="cs"/>
          <w:rtl/>
        </w:rPr>
        <w:t>إعداد / ميسون عقباوى</w:t>
      </w:r>
    </w:p>
    <w:p w:rsidR="00194A5B" w:rsidRPr="000E43A1" w:rsidRDefault="00194A5B" w:rsidP="00194A5B">
      <w:pPr>
        <w:pStyle w:val="Affiliation"/>
        <w:bidi/>
        <w:rPr>
          <w:rFonts w:eastAsia="Times New Roman"/>
        </w:rPr>
      </w:pPr>
      <w:r w:rsidRPr="000E43A1">
        <w:rPr>
          <w:rFonts w:hint="cs"/>
          <w:rtl/>
        </w:rPr>
        <w:t>قسم الدعوة وأصول الدين</w:t>
      </w:r>
    </w:p>
    <w:p w:rsidR="00194A5B" w:rsidRPr="000E43A1" w:rsidRDefault="00194A5B" w:rsidP="00194A5B">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194A5B" w:rsidRPr="000E43A1" w:rsidRDefault="00194A5B" w:rsidP="00194A5B">
      <w:pPr>
        <w:pStyle w:val="Affiliation"/>
        <w:bidi/>
        <w:rPr>
          <w:rtl/>
        </w:rPr>
      </w:pPr>
      <w:r w:rsidRPr="000E43A1">
        <w:rPr>
          <w:rFonts w:hint="cs"/>
          <w:rtl/>
        </w:rPr>
        <w:t>شاه علم - ماليزيا</w:t>
      </w:r>
    </w:p>
    <w:p w:rsidR="00194A5B" w:rsidRPr="000E43A1" w:rsidRDefault="00194A5B" w:rsidP="00194A5B">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194A5B" w:rsidRDefault="00194A5B" w:rsidP="00194A5B">
      <w:pPr>
        <w:pStyle w:val="NormalWeb"/>
        <w:jc w:val="right"/>
        <w:rPr>
          <w:rFonts w:asciiTheme="majorBidi" w:hAnsiTheme="majorBidi" w:cstheme="majorBidi"/>
          <w:b/>
          <w:bCs/>
          <w:sz w:val="18"/>
          <w:szCs w:val="18"/>
          <w:rtl/>
        </w:rPr>
        <w:sectPr w:rsidR="00194A5B" w:rsidSect="007E639D">
          <w:pgSz w:w="11906" w:h="16838"/>
          <w:pgMar w:top="1440" w:right="1440" w:bottom="1440" w:left="1440" w:header="720" w:footer="720" w:gutter="0"/>
          <w:cols w:space="720"/>
          <w:bidi/>
          <w:rtlGutter/>
          <w:docGrid w:linePitch="360"/>
        </w:sectPr>
      </w:pPr>
    </w:p>
    <w:p w:rsidR="00194A5B" w:rsidRPr="00194A5B" w:rsidRDefault="00194A5B" w:rsidP="00194A5B">
      <w:pPr>
        <w:pStyle w:val="NormalWeb"/>
        <w:jc w:val="right"/>
        <w:rPr>
          <w:rFonts w:asciiTheme="majorBidi" w:hAnsiTheme="majorBidi" w:cstheme="majorBidi"/>
          <w:b/>
          <w:bCs/>
          <w:sz w:val="18"/>
          <w:szCs w:val="18"/>
        </w:rPr>
      </w:pPr>
      <w:r w:rsidRPr="00194A5B">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هل أسماء الله تعالى توقيفية أم اصطلاحية ؟</w:t>
      </w:r>
      <w:r w:rsidRPr="00194A5B">
        <w:rPr>
          <w:rFonts w:asciiTheme="majorBidi" w:hAnsiTheme="majorBidi" w:cstheme="majorBidi"/>
          <w:b/>
          <w:bCs/>
          <w:sz w:val="18"/>
          <w:szCs w:val="18"/>
        </w:rPr>
        <w:br/>
      </w:r>
      <w:r w:rsidRPr="00194A5B">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التحصيل </w:t>
      </w:r>
      <w:r w:rsidRPr="00194A5B">
        <w:rPr>
          <w:rFonts w:asciiTheme="majorBidi" w:hAnsiTheme="majorBidi" w:cstheme="majorBidi"/>
          <w:b/>
          <w:bCs/>
          <w:sz w:val="18"/>
          <w:szCs w:val="18"/>
          <w:rtl/>
        </w:rPr>
        <w:t xml:space="preserve">، </w:t>
      </w:r>
      <w:r>
        <w:rPr>
          <w:rFonts w:asciiTheme="majorBidi" w:hAnsiTheme="majorBidi" w:cstheme="majorBidi" w:hint="cs"/>
          <w:b/>
          <w:bCs/>
          <w:sz w:val="18"/>
          <w:szCs w:val="18"/>
          <w:rtl/>
        </w:rPr>
        <w:t>توقيفية</w:t>
      </w:r>
      <w:r w:rsidRPr="00194A5B">
        <w:rPr>
          <w:rFonts w:asciiTheme="majorBidi" w:hAnsiTheme="majorBidi" w:cstheme="majorBidi"/>
          <w:b/>
          <w:bCs/>
          <w:sz w:val="18"/>
          <w:szCs w:val="18"/>
          <w:rtl/>
        </w:rPr>
        <w:t xml:space="preserve">، </w:t>
      </w:r>
      <w:r>
        <w:rPr>
          <w:rFonts w:asciiTheme="majorBidi" w:hAnsiTheme="majorBidi" w:cstheme="majorBidi" w:hint="cs"/>
          <w:b/>
          <w:bCs/>
          <w:sz w:val="18"/>
          <w:szCs w:val="18"/>
          <w:rtl/>
        </w:rPr>
        <w:t>المنصوص</w:t>
      </w:r>
      <w:r w:rsidRPr="00194A5B">
        <w:rPr>
          <w:rFonts w:asciiTheme="majorBidi" w:hAnsiTheme="majorBidi" w:cstheme="majorBidi"/>
          <w:b/>
          <w:bCs/>
          <w:sz w:val="18"/>
          <w:szCs w:val="18"/>
          <w:rtl/>
        </w:rPr>
        <w:t xml:space="preserve"> </w:t>
      </w:r>
    </w:p>
    <w:p w:rsidR="00194A5B" w:rsidRPr="00194A5B" w:rsidRDefault="00194A5B" w:rsidP="00194A5B">
      <w:pPr>
        <w:pStyle w:val="NormalWeb"/>
        <w:jc w:val="center"/>
        <w:rPr>
          <w:rFonts w:asciiTheme="majorBidi" w:hAnsiTheme="majorBidi" w:cstheme="majorBidi"/>
          <w:b/>
          <w:bCs/>
          <w:sz w:val="18"/>
          <w:szCs w:val="18"/>
          <w:lang w:bidi="ar-EG"/>
        </w:rPr>
      </w:pPr>
      <w:r w:rsidRPr="00194A5B">
        <w:rPr>
          <w:rFonts w:asciiTheme="majorBidi" w:hAnsiTheme="majorBidi" w:cstheme="majorBidi"/>
          <w:b/>
          <w:bCs/>
          <w:sz w:val="18"/>
          <w:szCs w:val="18"/>
          <w:rtl/>
        </w:rPr>
        <w:t>المقدمة</w:t>
      </w:r>
      <w:r w:rsidRPr="00194A5B">
        <w:rPr>
          <w:rFonts w:asciiTheme="majorBidi" w:hAnsiTheme="majorBidi" w:cstheme="majorBidi"/>
          <w:b/>
          <w:bCs/>
          <w:sz w:val="18"/>
          <w:szCs w:val="18"/>
          <w:lang w:bidi="ar-EG"/>
        </w:rPr>
        <w:t>.I</w:t>
      </w:r>
    </w:p>
    <w:p w:rsidR="00194A5B" w:rsidRPr="00194A5B" w:rsidRDefault="00194A5B" w:rsidP="00194A5B">
      <w:pPr>
        <w:pStyle w:val="NormalWeb"/>
        <w:jc w:val="right"/>
        <w:rPr>
          <w:rFonts w:asciiTheme="majorBidi" w:hAnsiTheme="majorBidi" w:cstheme="majorBidi"/>
          <w:b/>
          <w:bCs/>
          <w:sz w:val="18"/>
          <w:szCs w:val="18"/>
          <w:rtl/>
        </w:rPr>
      </w:pPr>
      <w:r w:rsidRPr="00194A5B">
        <w:rPr>
          <w:rFonts w:asciiTheme="majorBidi" w:hAnsiTheme="majorBidi" w:cstheme="majorBidi"/>
          <w:b/>
          <w:bCs/>
          <w:sz w:val="18"/>
          <w:szCs w:val="18"/>
        </w:rPr>
        <w:br/>
      </w:r>
      <w:r w:rsidRPr="00194A5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هل أسماء الله تعالى توقيفية أم اصطلاحية ؟</w:t>
      </w:r>
    </w:p>
    <w:p w:rsidR="00194A5B" w:rsidRPr="00194A5B" w:rsidRDefault="00194A5B" w:rsidP="00194A5B">
      <w:pPr>
        <w:pStyle w:val="NormalWeb"/>
        <w:jc w:val="center"/>
        <w:rPr>
          <w:rFonts w:asciiTheme="majorBidi" w:hAnsiTheme="majorBidi" w:cstheme="majorBidi"/>
          <w:b/>
          <w:bCs/>
          <w:sz w:val="18"/>
          <w:szCs w:val="18"/>
        </w:rPr>
      </w:pPr>
      <w:r w:rsidRPr="00194A5B">
        <w:rPr>
          <w:rFonts w:asciiTheme="majorBidi" w:hAnsiTheme="majorBidi" w:cstheme="majorBidi"/>
          <w:b/>
          <w:bCs/>
          <w:sz w:val="18"/>
          <w:szCs w:val="18"/>
        </w:rPr>
        <w:br/>
      </w:r>
      <w:r w:rsidRPr="00194A5B">
        <w:rPr>
          <w:rFonts w:asciiTheme="majorBidi" w:hAnsiTheme="majorBidi" w:cstheme="majorBidi"/>
          <w:b/>
          <w:bCs/>
          <w:sz w:val="18"/>
          <w:szCs w:val="18"/>
          <w:rtl/>
        </w:rPr>
        <w:t>.عنوان المقال</w:t>
      </w:r>
      <w:r w:rsidRPr="00194A5B">
        <w:rPr>
          <w:rFonts w:asciiTheme="majorBidi" w:hAnsiTheme="majorBidi" w:cstheme="majorBidi"/>
          <w:b/>
          <w:bCs/>
          <w:sz w:val="18"/>
          <w:szCs w:val="18"/>
        </w:rPr>
        <w:t>II</w:t>
      </w:r>
    </w:p>
    <w:p w:rsidR="00194A5B" w:rsidRPr="00194A5B" w:rsidRDefault="00194A5B" w:rsidP="00194A5B">
      <w:pPr>
        <w:spacing w:line="240" w:lineRule="auto"/>
        <w:rPr>
          <w:rFonts w:asciiTheme="majorBidi" w:hAnsiTheme="majorBidi" w:cstheme="majorBidi"/>
          <w:b/>
          <w:bCs/>
          <w:sz w:val="18"/>
          <w:szCs w:val="18"/>
          <w:rtl/>
        </w:rPr>
      </w:pPr>
      <w:r w:rsidRPr="00194A5B">
        <w:rPr>
          <w:rFonts w:asciiTheme="majorBidi" w:hAnsiTheme="majorBidi" w:cstheme="majorBidi"/>
          <w:b/>
          <w:bCs/>
          <w:sz w:val="18"/>
          <w:szCs w:val="18"/>
          <w:rtl/>
        </w:rPr>
        <w:t>أسماء الله تعالى توقيفية، ذكرها الأستاذ أبو منصور في كتابه (التحصيل) فقال: أجمع أصحابنا على أن أسماء الله تعالى توقيفية، ولا يجوز إطلاق شيء منها بالقياس، وهذا يردّ على القائلين اليوم بأن نغيّر أسماء الله تعالى، وإن كان في معنى المنصوص، وجوزه معتزلة البصرة قال: وأما أسماء غيري فالصحيح من مذهب الشافعي جواز القياس فيها، وقال بعض أصحابه مع أكثر أهل الرأي بامتناع القياس، وأجمعوا على أنه لو حدث في العالم شيء بخلاف الحوادث كلها جاز أن يوضعوا له اسم. واختلفوا في كيفيته فمنهم من قال: نسميه باسم الشيء القريب منه في صورته، ويكون ذلك من جملة اللغة التي قيس عليها، ومنهم من قال: ابتدأ له اسم كيف كان ويكون ذلك لغة مختصة بالمسمى بها، يقول المقترح في (شرح الإرشاد): أطلق أئمتنا أن القياس لا يجري في أسماء الله تعالى، فانحصر مداركها في الكتاب والسنة والإجماع، وهل يشترط أن يكون الخبر الوارد في السنة في أسماء الله متواترًا، فيه خلاف، والصحيح أن التواتر غير شرط.</w:t>
      </w:r>
    </w:p>
    <w:p w:rsidR="00194A5B" w:rsidRPr="00194A5B" w:rsidRDefault="00194A5B" w:rsidP="00194A5B">
      <w:pPr>
        <w:pStyle w:val="ListParagraph"/>
        <w:spacing w:line="240" w:lineRule="auto"/>
        <w:ind w:left="373"/>
        <w:jc w:val="center"/>
        <w:rPr>
          <w:rFonts w:asciiTheme="majorBidi" w:hAnsiTheme="majorBidi" w:cstheme="majorBidi"/>
          <w:b/>
          <w:bCs/>
          <w:sz w:val="18"/>
          <w:szCs w:val="18"/>
          <w:rtl/>
        </w:rPr>
      </w:pPr>
      <w:r w:rsidRPr="00194A5B">
        <w:rPr>
          <w:rFonts w:asciiTheme="majorBidi" w:hAnsiTheme="majorBidi" w:cstheme="majorBidi"/>
          <w:b/>
          <w:bCs/>
          <w:sz w:val="18"/>
          <w:szCs w:val="18"/>
          <w:rtl/>
        </w:rPr>
        <w:t>المراجع والمصادر</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الإحكام في أصول الأحكام</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tl/>
        </w:rPr>
      </w:pPr>
      <w:r w:rsidRPr="00194A5B">
        <w:rPr>
          <w:rFonts w:asciiTheme="majorBidi" w:hAnsiTheme="majorBidi" w:cstheme="majorBidi"/>
          <w:b/>
          <w:bCs/>
          <w:sz w:val="18"/>
          <w:szCs w:val="18"/>
          <w:rtl/>
        </w:rPr>
        <w:t>سيف الدين علي بن أبي علي بن محمد الآمدي، دار الكتب العلمية، بيروت، 1990م.</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البرهان في أصول الفقه</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tl/>
          <w:lang w:bidi="ar-EG"/>
        </w:rPr>
      </w:pPr>
      <w:r w:rsidRPr="00194A5B">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البحر المحيط في أصول الفقه</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tl/>
        </w:rPr>
      </w:pPr>
      <w:r w:rsidRPr="00194A5B">
        <w:rPr>
          <w:rFonts w:asciiTheme="majorBidi" w:hAnsiTheme="majorBidi" w:cstheme="majorBidi"/>
          <w:b/>
          <w:bCs/>
          <w:sz w:val="18"/>
          <w:szCs w:val="18"/>
          <w:rtl/>
        </w:rPr>
        <w:t>بدر الدين محمد بن بهادر الزركشي، وزارة الأوقاف والشئون الإسلامية، الكويت، 1988م.</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lastRenderedPageBreak/>
        <w:t>تشنيف المسامع بجمع الجوامع</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Pr>
      </w:pPr>
      <w:r w:rsidRPr="00194A5B">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روضة الناظر وجنة المناظر</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Pr>
      </w:pPr>
      <w:r w:rsidRPr="00194A5B">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شرح الكوكب المنير</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tl/>
        </w:rPr>
      </w:pPr>
      <w:r w:rsidRPr="00194A5B">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الكاشف عن المحصول في علم الأصول</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Pr>
      </w:pPr>
      <w:r w:rsidRPr="00194A5B">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المحصول في علم الأصول</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Pr>
      </w:pPr>
      <w:r w:rsidRPr="00194A5B">
        <w:rPr>
          <w:rFonts w:asciiTheme="majorBidi" w:hAnsiTheme="majorBidi" w:cstheme="majorBidi"/>
          <w:b/>
          <w:bCs/>
          <w:sz w:val="18"/>
          <w:szCs w:val="18"/>
          <w:rtl/>
        </w:rPr>
        <w:t>فخر الرازي محمد بن عمر بن الحسين الرازي، طبعة دار الكتب العلمية، بيروت، 1988م.</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المعتمد في أصول الفقه</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Pr>
      </w:pPr>
      <w:r w:rsidRPr="00194A5B">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نفائس الأصول في شرح المحصول</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Pr>
      </w:pPr>
      <w:r w:rsidRPr="00194A5B">
        <w:rPr>
          <w:rFonts w:asciiTheme="majorBidi" w:hAnsiTheme="majorBidi" w:cstheme="majorBidi"/>
          <w:b/>
          <w:bCs/>
          <w:sz w:val="18"/>
          <w:szCs w:val="18"/>
          <w:rtl/>
        </w:rPr>
        <w:t>أبو العباس أحمد بن إدريس القرافي، مكتبة نزار مصطفى الباز، 1995م.</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نهاية السول شرح منهاج الوصول</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Pr>
      </w:pPr>
      <w:r w:rsidRPr="00194A5B">
        <w:rPr>
          <w:rFonts w:asciiTheme="majorBidi" w:hAnsiTheme="majorBidi" w:cstheme="majorBidi"/>
          <w:b/>
          <w:bCs/>
          <w:sz w:val="18"/>
          <w:szCs w:val="18"/>
          <w:rtl/>
        </w:rPr>
        <w:t>جمال الدين عبد الرحيم الإسنوي، تحقيق: شعبان إسماعيل، دار ابن حزم، بيروت، 1999م.</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التحبير شرح التحرير في أصول الفقه</w:t>
      </w:r>
    </w:p>
    <w:p w:rsidR="00194A5B" w:rsidRPr="00194A5B" w:rsidRDefault="00194A5B" w:rsidP="00194A5B">
      <w:pPr>
        <w:spacing w:after="100" w:afterAutospacing="1" w:line="240" w:lineRule="auto"/>
        <w:ind w:left="290" w:hanging="6"/>
        <w:jc w:val="lowKashida"/>
        <w:rPr>
          <w:rFonts w:asciiTheme="majorBidi" w:hAnsiTheme="majorBidi" w:cstheme="majorBidi"/>
          <w:b/>
          <w:bCs/>
          <w:sz w:val="18"/>
          <w:szCs w:val="18"/>
        </w:rPr>
      </w:pPr>
      <w:r w:rsidRPr="00194A5B">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194A5B" w:rsidRPr="00194A5B" w:rsidRDefault="00194A5B" w:rsidP="00194A5B">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94A5B">
        <w:rPr>
          <w:rFonts w:asciiTheme="majorBidi" w:hAnsiTheme="majorBidi" w:cstheme="majorBidi"/>
          <w:b/>
          <w:bCs/>
          <w:sz w:val="18"/>
          <w:szCs w:val="18"/>
          <w:rtl/>
        </w:rPr>
        <w:t>رفع الحاجب عن مختصر ابن الحاجب</w:t>
      </w:r>
    </w:p>
    <w:p w:rsidR="00194A5B" w:rsidRPr="00194A5B" w:rsidRDefault="00194A5B" w:rsidP="00194A5B">
      <w:pPr>
        <w:spacing w:after="120" w:line="240" w:lineRule="auto"/>
        <w:jc w:val="lowKashida"/>
        <w:rPr>
          <w:rFonts w:asciiTheme="majorBidi" w:hAnsiTheme="majorBidi" w:cstheme="majorBidi"/>
          <w:b/>
          <w:bCs/>
          <w:sz w:val="18"/>
          <w:szCs w:val="18"/>
          <w:rtl/>
        </w:rPr>
      </w:pPr>
      <w:r w:rsidRPr="00194A5B">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194A5B" w:rsidRDefault="00194A5B" w:rsidP="00194A5B">
      <w:pPr>
        <w:rPr>
          <w:rtl/>
        </w:rPr>
        <w:sectPr w:rsidR="00194A5B" w:rsidSect="00194A5B">
          <w:type w:val="continuous"/>
          <w:pgSz w:w="11906" w:h="16838"/>
          <w:pgMar w:top="1440" w:right="1440" w:bottom="1440" w:left="1440" w:header="720" w:footer="720" w:gutter="0"/>
          <w:cols w:num="2" w:space="720"/>
          <w:bidi/>
          <w:rtlGutter/>
          <w:docGrid w:linePitch="360"/>
        </w:sectPr>
      </w:pPr>
    </w:p>
    <w:p w:rsidR="00194A5B" w:rsidRDefault="00194A5B" w:rsidP="00194A5B"/>
    <w:sectPr w:rsidR="00194A5B" w:rsidSect="00194A5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194A5B"/>
    <w:rsid w:val="00182246"/>
    <w:rsid w:val="00194A5B"/>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194A5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94A5B"/>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unhideWhenUsed/>
    <w:rsid w:val="00194A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4A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2013-06-14T15:13:00Z</dcterms:created>
  <dcterms:modified xsi:type="dcterms:W3CDTF">2013-06-14T15:23:00Z</dcterms:modified>
</cp:coreProperties>
</file>