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C52CB" w:rsidP="00EC52CB">
      <w:pPr>
        <w:spacing w:line="240" w:lineRule="auto"/>
        <w:jc w:val="center"/>
        <w:rPr>
          <w:i/>
          <w:iCs/>
          <w:rtl/>
        </w:rPr>
      </w:pPr>
      <w:r w:rsidRPr="00EC52CB">
        <w:rPr>
          <w:rFonts w:asciiTheme="majorBidi" w:eastAsia="Calibri" w:hAnsiTheme="majorBidi" w:cstheme="majorBidi"/>
          <w:i/>
          <w:iCs/>
          <w:sz w:val="48"/>
          <w:szCs w:val="48"/>
          <w:rtl/>
        </w:rPr>
        <w:t>الخروم والسقط</w:t>
      </w:r>
    </w:p>
    <w:p w:rsidR="00EC52CB" w:rsidRPr="00B11401" w:rsidRDefault="00EC52CB" w:rsidP="00EC52CB">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EC52CB" w:rsidRPr="00294A2D" w:rsidRDefault="00EC52CB" w:rsidP="001B63B0">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1B63B0" w:rsidRPr="001B63B0">
        <w:rPr>
          <w:rFonts w:asciiTheme="majorBidi" w:hAnsiTheme="majorBidi" w:cstheme="majorBidi"/>
          <w:rtl/>
          <w:lang w:bidi="ar-EG"/>
        </w:rPr>
        <w:t>أحمد عبد الحميد مهدي</w:t>
      </w:r>
    </w:p>
    <w:p w:rsidR="00EC52CB" w:rsidRPr="00207A5C" w:rsidRDefault="00EC52CB" w:rsidP="00EC52CB">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EC52CB" w:rsidRPr="0089766D" w:rsidRDefault="00A110B6" w:rsidP="00EC52CB">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w:t>
      </w:r>
      <w:r>
        <w:rPr>
          <w:rFonts w:asciiTheme="majorBidi" w:hAnsiTheme="majorBidi" w:cstheme="majorBidi" w:hint="cs"/>
          <w:i/>
          <w:iCs/>
          <w:sz w:val="20"/>
          <w:szCs w:val="20"/>
          <w:rtl/>
        </w:rPr>
        <w:t>للغات</w:t>
      </w:r>
      <w:r w:rsidR="00EC52CB" w:rsidRPr="0089766D">
        <w:rPr>
          <w:rFonts w:asciiTheme="majorBidi" w:hAnsiTheme="majorBidi" w:cstheme="majorBidi"/>
          <w:i/>
          <w:iCs/>
          <w:sz w:val="20"/>
          <w:szCs w:val="20"/>
          <w:rtl/>
        </w:rPr>
        <w:t>– جامعة المدينة العالمية</w:t>
      </w:r>
    </w:p>
    <w:p w:rsidR="00EC52CB" w:rsidRPr="0089766D" w:rsidRDefault="00EC52CB" w:rsidP="00EC52CB">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EC52CB" w:rsidRPr="0089766D" w:rsidRDefault="001B63B0" w:rsidP="00EC52CB">
      <w:pPr>
        <w:spacing w:line="240" w:lineRule="auto"/>
        <w:jc w:val="center"/>
        <w:rPr>
          <w:rFonts w:asciiTheme="majorBidi" w:hAnsiTheme="majorBidi" w:cstheme="majorBidi"/>
          <w:i/>
          <w:iCs/>
          <w:sz w:val="20"/>
          <w:szCs w:val="20"/>
        </w:rPr>
      </w:pPr>
      <w:r w:rsidRPr="001B63B0">
        <w:rPr>
          <w:rFonts w:asciiTheme="majorBidi" w:hAnsiTheme="majorBidi" w:cstheme="majorBidi"/>
          <w:i/>
          <w:iCs/>
          <w:sz w:val="20"/>
          <w:szCs w:val="20"/>
          <w:lang w:bidi="ar-EG"/>
        </w:rPr>
        <w:t>ahmed.mahdey@mediu.ws</w:t>
      </w:r>
    </w:p>
    <w:p w:rsidR="00834272" w:rsidRDefault="00834272" w:rsidP="00EC52CB">
      <w:pPr>
        <w:spacing w:after="120" w:line="240" w:lineRule="auto"/>
        <w:jc w:val="lowKashida"/>
        <w:rPr>
          <w:rFonts w:asciiTheme="majorBidi" w:hAnsiTheme="majorBidi" w:cstheme="majorBidi"/>
          <w:b/>
          <w:bCs/>
          <w:sz w:val="18"/>
          <w:szCs w:val="18"/>
          <w:rtl/>
        </w:rPr>
        <w:sectPr w:rsidR="00834272" w:rsidSect="00BF7572">
          <w:pgSz w:w="11906" w:h="16838"/>
          <w:pgMar w:top="964" w:right="1021" w:bottom="964" w:left="1021" w:header="709" w:footer="709" w:gutter="0"/>
          <w:cols w:space="708"/>
          <w:bidi/>
          <w:rtlGutter/>
          <w:docGrid w:linePitch="360"/>
        </w:sectPr>
      </w:pPr>
    </w:p>
    <w:p w:rsidR="00EC52CB" w:rsidRPr="00834272" w:rsidRDefault="00EC52CB" w:rsidP="00EC52CB">
      <w:p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rPr>
        <w:lastRenderedPageBreak/>
        <w:t xml:space="preserve">خلاصة ـــ هذا البحث يبحث في </w:t>
      </w:r>
      <w:r w:rsidRPr="00834272">
        <w:rPr>
          <w:rFonts w:asciiTheme="majorBidi" w:eastAsia="Calibri" w:hAnsiTheme="majorBidi" w:cstheme="majorBidi"/>
          <w:b/>
          <w:bCs/>
          <w:sz w:val="18"/>
          <w:szCs w:val="18"/>
          <w:rtl/>
        </w:rPr>
        <w:t>الخروم والسقط</w:t>
      </w:r>
    </w:p>
    <w:p w:rsidR="00EC52CB" w:rsidRPr="00834272" w:rsidRDefault="00EC52CB" w:rsidP="00EC52CB">
      <w:p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rPr>
        <w:t>الكلمات المفتاحية : المخطوطات القديمة ، الجوانب ، المؤلف</w:t>
      </w:r>
    </w:p>
    <w:p w:rsidR="00EC52CB" w:rsidRPr="00834272" w:rsidRDefault="00EC52CB" w:rsidP="00834272">
      <w:pPr>
        <w:pStyle w:val="a4"/>
        <w:numPr>
          <w:ilvl w:val="0"/>
          <w:numId w:val="2"/>
        </w:numPr>
        <w:spacing w:after="120" w:line="240" w:lineRule="auto"/>
        <w:jc w:val="center"/>
        <w:rPr>
          <w:rFonts w:asciiTheme="majorBidi" w:hAnsiTheme="majorBidi" w:cstheme="majorBidi"/>
          <w:b/>
          <w:bCs/>
          <w:sz w:val="18"/>
          <w:szCs w:val="18"/>
          <w:rtl/>
        </w:rPr>
      </w:pPr>
      <w:r w:rsidRPr="00834272">
        <w:rPr>
          <w:rFonts w:asciiTheme="majorBidi" w:hAnsiTheme="majorBidi" w:cstheme="majorBidi"/>
          <w:b/>
          <w:bCs/>
          <w:sz w:val="18"/>
          <w:szCs w:val="18"/>
          <w:rtl/>
        </w:rPr>
        <w:t>المقدمة</w:t>
      </w:r>
    </w:p>
    <w:p w:rsidR="00EC52CB" w:rsidRPr="00834272" w:rsidRDefault="00EC52CB" w:rsidP="00EC52CB">
      <w:pPr>
        <w:pStyle w:val="a3"/>
        <w:bidi/>
        <w:spacing w:before="0" w:beforeAutospacing="0" w:after="120" w:afterAutospacing="0"/>
        <w:jc w:val="lowKashida"/>
        <w:rPr>
          <w:rFonts w:asciiTheme="majorBidi" w:eastAsia="Calibri" w:hAnsiTheme="majorBidi" w:cstheme="majorBidi"/>
          <w:b/>
          <w:bCs/>
          <w:sz w:val="18"/>
          <w:szCs w:val="18"/>
          <w:rtl/>
        </w:rPr>
      </w:pPr>
      <w:r w:rsidRPr="00834272">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834272">
        <w:rPr>
          <w:rFonts w:asciiTheme="majorBidi" w:eastAsia="Calibri" w:hAnsiTheme="majorBidi" w:cstheme="majorBidi"/>
          <w:b/>
          <w:bCs/>
          <w:sz w:val="18"/>
          <w:szCs w:val="18"/>
          <w:rtl/>
        </w:rPr>
        <w:t>الخروم والسقط</w:t>
      </w:r>
    </w:p>
    <w:p w:rsidR="00EC52CB" w:rsidRPr="00834272" w:rsidRDefault="00EC52CB" w:rsidP="00834272">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834272">
        <w:rPr>
          <w:rFonts w:asciiTheme="majorBidi" w:hAnsiTheme="majorBidi" w:cstheme="majorBidi"/>
          <w:b/>
          <w:bCs/>
          <w:sz w:val="18"/>
          <w:szCs w:val="18"/>
          <w:rtl/>
        </w:rPr>
        <w:t>عنوان المقال</w:t>
      </w:r>
    </w:p>
    <w:p w:rsidR="00EC52CB" w:rsidRPr="00834272" w:rsidRDefault="00EC52CB" w:rsidP="00EC52CB">
      <w:pPr>
        <w:pStyle w:val="a3"/>
        <w:bidi/>
        <w:spacing w:before="0" w:beforeAutospacing="0" w:after="120" w:afterAutospacing="0"/>
        <w:jc w:val="lowKashida"/>
        <w:rPr>
          <w:rFonts w:asciiTheme="majorBidi" w:hAnsiTheme="majorBidi" w:cstheme="majorBidi"/>
          <w:b/>
          <w:bCs/>
          <w:sz w:val="18"/>
          <w:szCs w:val="18"/>
        </w:rPr>
      </w:pPr>
      <w:r w:rsidRPr="00834272">
        <w:rPr>
          <w:rFonts w:asciiTheme="majorBidi" w:hAnsiTheme="majorBidi" w:cstheme="majorBidi"/>
          <w:b/>
          <w:bCs/>
          <w:sz w:val="18"/>
          <w:szCs w:val="18"/>
          <w:rtl/>
        </w:rPr>
        <w:t>الخر</w:t>
      </w:r>
      <w:r w:rsidRPr="00834272">
        <w:rPr>
          <w:rFonts w:asciiTheme="majorBidi" w:hAnsiTheme="majorBidi" w:cstheme="majorBidi"/>
          <w:b/>
          <w:bCs/>
          <w:sz w:val="18"/>
          <w:szCs w:val="18"/>
          <w:rtl/>
          <w:lang w:bidi="ar-EG"/>
        </w:rPr>
        <w:t>و</w:t>
      </w:r>
      <w:r w:rsidRPr="00834272">
        <w:rPr>
          <w:rFonts w:asciiTheme="majorBidi" w:hAnsiTheme="majorBidi" w:cstheme="majorBidi"/>
          <w:b/>
          <w:bCs/>
          <w:sz w:val="18"/>
          <w:szCs w:val="18"/>
          <w:rtl/>
        </w:rPr>
        <w:t>م والسقط ظاهرتان واردتان في المخطوطات القديمة، فقد يحدث في بعض النسخ المخطوطة تآكل في بعض أوراقها من أعلاها أو أسفلها أو وسطها، فتمحى بعض الكلمات أو العبارات أو العناوين التي مكان الخرم، كما يحدث أن تسقط بعض الأوراق من النسخة أو يضطرب ترتيبها، ولا تعد هاتان الظاهرتان دليلًا على قدم النسخة أو حداثتها كما يظن بعض الباحثين، ينظر إلى المخطوط فيرى به خرمًا أو سقطا، فيعتقد أن هذه النسخة قديمة،  لا الخرم ولا السقط يعد دليلًا على قدم النسخة أو حداثتها، وذلك لأن كثيرا من المخطوطات القديمة تحفظ من الحشرات والرطوبة والمسح بطرق علمية دقيقة، فيقل بها الخرم، وكثير من المخطوطات الحديثة تتعرض للإهمال، فيصيبها الخرم.</w:t>
      </w:r>
    </w:p>
    <w:p w:rsidR="00EC52CB" w:rsidRPr="00834272" w:rsidRDefault="00EC52CB" w:rsidP="00EC52CB">
      <w:pPr>
        <w:pStyle w:val="a3"/>
        <w:bidi/>
        <w:spacing w:before="0" w:beforeAutospacing="0" w:after="120" w:afterAutospacing="0"/>
        <w:jc w:val="lowKashida"/>
        <w:rPr>
          <w:rFonts w:asciiTheme="majorBidi" w:hAnsiTheme="majorBidi" w:cstheme="majorBidi"/>
          <w:b/>
          <w:bCs/>
          <w:sz w:val="18"/>
          <w:szCs w:val="18"/>
        </w:rPr>
      </w:pPr>
      <w:r w:rsidRPr="00834272">
        <w:rPr>
          <w:rFonts w:asciiTheme="majorBidi" w:hAnsiTheme="majorBidi" w:cstheme="majorBidi"/>
          <w:b/>
          <w:bCs/>
          <w:sz w:val="18"/>
          <w:szCs w:val="18"/>
          <w:rtl/>
        </w:rPr>
        <w:t>وقد تصور المخطوطة تصويرا رديئا فلا تظهر بعض الجوانب من الورقة أو تطمس بعض الكلمات، فيصير الأمر قريبا من الخرم، فليتنبه الباحث إلى هذا،إذا صادف خرمًا أو سقطا  يمكن أن يعالج الباحث هذا بأكثر من طريقة؛ فإن كان يعتمد في تحقيقه على نسخة المؤلف، وكان الخرم والسقط موجودًا في  نسخة المؤلف؛ فعليه الاستعانة بغيرها من النسخ.</w:t>
      </w:r>
    </w:p>
    <w:p w:rsidR="00EC52CB" w:rsidRPr="00834272" w:rsidRDefault="00EC52CB" w:rsidP="00EC52CB">
      <w:pPr>
        <w:pStyle w:val="a3"/>
        <w:bidi/>
        <w:spacing w:before="0" w:beforeAutospacing="0" w:after="120" w:afterAutospacing="0"/>
        <w:jc w:val="lowKashida"/>
        <w:rPr>
          <w:rFonts w:asciiTheme="majorBidi" w:hAnsiTheme="majorBidi" w:cstheme="majorBidi"/>
          <w:b/>
          <w:bCs/>
          <w:sz w:val="18"/>
          <w:szCs w:val="18"/>
        </w:rPr>
      </w:pPr>
      <w:r w:rsidRPr="00834272">
        <w:rPr>
          <w:rFonts w:asciiTheme="majorBidi" w:hAnsiTheme="majorBidi" w:cstheme="majorBidi"/>
          <w:b/>
          <w:bCs/>
          <w:sz w:val="18"/>
          <w:szCs w:val="18"/>
          <w:rtl/>
        </w:rPr>
        <w:t>ولابد أن يكون الباحث قد تدارك هذا الخلل عند مقابلة النسخ، فإذا اتفق جميع النسخ في وجود الخلل بها أو لم يكن لديه غير نسخة واحدة،  عليه أن يستعين بالنصوص التي نقلت عن المؤلف، ممكن يكون  مؤلف آخر نقل نصوصًا يستدل بها عن هذا المخطوط، فربما يكون نقل هذه العبارة التي بها خرم، فإذا رجع إليها المحقق لوجد النص كاملا وبه الخرم الذي انمحت العبارة بسببه أو الكلمة بسببه، فعليه أن يستعين بالنصوص التي نقلت عن المؤلف أي: التي اقتبسها المؤلفون من هذا المخطوط.</w:t>
      </w:r>
    </w:p>
    <w:p w:rsidR="00EC52CB" w:rsidRPr="00834272" w:rsidRDefault="00EC52CB" w:rsidP="00EC52CB">
      <w:pPr>
        <w:pStyle w:val="a3"/>
        <w:bidi/>
        <w:spacing w:before="0" w:beforeAutospacing="0" w:after="120" w:afterAutospacing="0"/>
        <w:jc w:val="lowKashida"/>
        <w:rPr>
          <w:rFonts w:asciiTheme="majorBidi" w:hAnsiTheme="majorBidi" w:cstheme="majorBidi"/>
          <w:b/>
          <w:bCs/>
          <w:sz w:val="18"/>
          <w:szCs w:val="18"/>
        </w:rPr>
      </w:pPr>
      <w:r w:rsidRPr="00834272">
        <w:rPr>
          <w:rFonts w:asciiTheme="majorBidi" w:hAnsiTheme="majorBidi" w:cstheme="majorBidi"/>
          <w:b/>
          <w:bCs/>
          <w:sz w:val="18"/>
          <w:szCs w:val="18"/>
          <w:rtl/>
        </w:rPr>
        <w:t>وعلى أي حال يضع هذا الذي وجده بين قوسين في المتن، ويشير في الحاشية إلى ذلك، أو يضع عدة نقاط في المتن مكان الخرم، ويذكر الناقص في الحاشية،  فإن لم يجد النص الذي أصاب الخرم بعض كلماته،  يرجع إلى المؤلفات  الذي كتب فيه المؤلف مخطوطه، ويستوعبها جيدًا، ثم  يجتهد في الترميم  مستعينا بما حصله من معلومات يمكنه الإفادة منها في إصلاح  الخرم،  ويحاول بقدر الإمكان أن يكون الترميم في نفس مساحة الخرم، يعني: المساحة تتحمل كلمة، يكون الترميم بكلمة،  كلمتين يكون الترميم بكلمتين وهكذا.</w:t>
      </w:r>
    </w:p>
    <w:p w:rsidR="00EC52CB" w:rsidRPr="00834272" w:rsidRDefault="00EC52CB" w:rsidP="00EC52CB">
      <w:pPr>
        <w:pStyle w:val="a3"/>
        <w:bidi/>
        <w:spacing w:before="0" w:beforeAutospacing="0" w:after="120" w:afterAutospacing="0"/>
        <w:jc w:val="lowKashida"/>
        <w:rPr>
          <w:rFonts w:asciiTheme="majorBidi" w:hAnsiTheme="majorBidi" w:cstheme="majorBidi"/>
          <w:b/>
          <w:bCs/>
          <w:sz w:val="18"/>
          <w:szCs w:val="18"/>
          <w:rtl/>
        </w:rPr>
      </w:pPr>
      <w:r w:rsidRPr="00834272">
        <w:rPr>
          <w:rFonts w:asciiTheme="majorBidi" w:hAnsiTheme="majorBidi" w:cstheme="majorBidi"/>
          <w:b/>
          <w:bCs/>
          <w:sz w:val="18"/>
          <w:szCs w:val="18"/>
          <w:rtl/>
        </w:rPr>
        <w:t xml:space="preserve">هناك سقط في الأوراق  عليه أن يأتي بالفهرس إن كان  المؤلف قد وضع فهرسًا لمخطوطه، وبإمكانه أن يصلح السقط من خلال العناوين التي توجد في أوراق المخطوط، فإن لم يهتد إلى ترميم الخرم أو إصلاح السقط كأن تجمع النسخ على ذلك مثلا،  يشير المحقق إلى ذلك في الحاشية، ثم يجتهد في معرفة مضمون السقط، ويذكره في الحاشية. </w:t>
      </w:r>
    </w:p>
    <w:p w:rsidR="00EC52CB" w:rsidRPr="00834272" w:rsidRDefault="00EC52CB" w:rsidP="00834272">
      <w:pPr>
        <w:spacing w:line="240" w:lineRule="auto"/>
        <w:jc w:val="center"/>
        <w:rPr>
          <w:rFonts w:asciiTheme="majorBidi" w:hAnsiTheme="majorBidi" w:cstheme="majorBidi"/>
          <w:b/>
          <w:bCs/>
          <w:sz w:val="18"/>
          <w:szCs w:val="18"/>
          <w:rtl/>
          <w:lang w:bidi="ar-EG"/>
        </w:rPr>
      </w:pPr>
      <w:r w:rsidRPr="00834272">
        <w:rPr>
          <w:rFonts w:asciiTheme="majorBidi" w:hAnsiTheme="majorBidi" w:cstheme="majorBidi"/>
          <w:b/>
          <w:bCs/>
          <w:sz w:val="18"/>
          <w:szCs w:val="18"/>
          <w:rtl/>
          <w:lang w:bidi="ar-EG"/>
        </w:rPr>
        <w:lastRenderedPageBreak/>
        <w:t>المراجع والمصادر</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rPr>
        <w:t>شوقي ضيف، (البحث الأدبيّ: طبيعته. مناهجه. أصوله. مصادره) ،مصر،  دار المعارف، 1972م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834272">
        <w:rPr>
          <w:rFonts w:asciiTheme="majorBidi" w:hAnsiTheme="majorBidi" w:cstheme="majorBidi"/>
          <w:b/>
          <w:bCs/>
          <w:sz w:val="18"/>
          <w:szCs w:val="18"/>
          <w:rtl/>
        </w:rPr>
        <w:t>(البحث الأدبيّ: تأصيل ودراسة) ،</w:t>
      </w:r>
      <w:r w:rsidRPr="00834272">
        <w:rPr>
          <w:rFonts w:asciiTheme="majorBidi" w:hAnsiTheme="majorBidi" w:cstheme="majorBidi"/>
          <w:b/>
          <w:bCs/>
          <w:sz w:val="18"/>
          <w:szCs w:val="18"/>
          <w:rtl/>
          <w:lang w:bidi="ar-EG"/>
        </w:rPr>
        <w:t>مطبعة الجريسي, 2001م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أحمد محمد الخراط، </w:t>
      </w:r>
      <w:r w:rsidRPr="00834272">
        <w:rPr>
          <w:rFonts w:asciiTheme="majorBidi" w:hAnsiTheme="majorBidi" w:cstheme="majorBidi"/>
          <w:b/>
          <w:bCs/>
          <w:sz w:val="18"/>
          <w:szCs w:val="18"/>
          <w:rtl/>
        </w:rPr>
        <w:t>(محاضرات في تحقيق النّصوص) ،</w:t>
      </w:r>
      <w:r w:rsidRPr="00834272">
        <w:rPr>
          <w:rFonts w:asciiTheme="majorBidi" w:hAnsiTheme="majorBidi" w:cstheme="majorBidi"/>
          <w:b/>
          <w:bCs/>
          <w:sz w:val="18"/>
          <w:szCs w:val="18"/>
          <w:rtl/>
          <w:lang w:bidi="ar-EG"/>
        </w:rPr>
        <w:t>المدينة المنورة، المنارة للطباعة والنّشر والتّوزيع، 1984م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عزام بن الاصبع السّلمي، تحقيق: عبد السّلام هارون، </w:t>
      </w:r>
      <w:r w:rsidRPr="00834272">
        <w:rPr>
          <w:rFonts w:asciiTheme="majorBidi" w:hAnsiTheme="majorBidi" w:cstheme="majorBidi"/>
          <w:b/>
          <w:bCs/>
          <w:sz w:val="18"/>
          <w:szCs w:val="18"/>
          <w:rtl/>
        </w:rPr>
        <w:t>(نوادر المخطوطات) ،</w:t>
      </w:r>
      <w:r w:rsidRPr="00834272">
        <w:rPr>
          <w:rFonts w:asciiTheme="majorBidi" w:hAnsiTheme="majorBidi" w:cstheme="majorBidi"/>
          <w:b/>
          <w:bCs/>
          <w:sz w:val="18"/>
          <w:szCs w:val="18"/>
          <w:rtl/>
          <w:lang w:bidi="ar-EG"/>
        </w:rPr>
        <w:t xml:space="preserve"> القاهرة،  مكتبة مصطفى البابيّ الحلبيّ،1973م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لحسن بن عبد الله بن سعيد العسكريّ، تحقيق: عبد العزيز أحمد، </w:t>
      </w:r>
      <w:r w:rsidRPr="00834272">
        <w:rPr>
          <w:rFonts w:asciiTheme="majorBidi" w:hAnsiTheme="majorBidi" w:cstheme="majorBidi"/>
          <w:b/>
          <w:bCs/>
          <w:sz w:val="18"/>
          <w:szCs w:val="18"/>
          <w:rtl/>
        </w:rPr>
        <w:t>(شرح ما يقع فيه التّصحيف والتّحريف) ،</w:t>
      </w:r>
      <w:r w:rsidRPr="00834272">
        <w:rPr>
          <w:rFonts w:asciiTheme="majorBidi" w:hAnsiTheme="majorBidi" w:cstheme="majorBidi"/>
          <w:b/>
          <w:bCs/>
          <w:sz w:val="18"/>
          <w:szCs w:val="18"/>
          <w:rtl/>
          <w:lang w:bidi="ar-EG"/>
        </w:rPr>
        <w:t>ا ، القاهرة، مطبعة مصطفى البابيّ الحلبيّ، 1963م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محمد عبد المنعم خفاجي، </w:t>
      </w:r>
      <w:r w:rsidRPr="00834272">
        <w:rPr>
          <w:rFonts w:asciiTheme="majorBidi" w:hAnsiTheme="majorBidi" w:cstheme="majorBidi"/>
          <w:b/>
          <w:bCs/>
          <w:sz w:val="18"/>
          <w:szCs w:val="18"/>
          <w:rtl/>
        </w:rPr>
        <w:t>(البحوث الأدبيّة) ،</w:t>
      </w:r>
      <w:r w:rsidRPr="00834272">
        <w:rPr>
          <w:rFonts w:asciiTheme="majorBidi" w:hAnsiTheme="majorBidi" w:cstheme="majorBidi"/>
          <w:b/>
          <w:bCs/>
          <w:sz w:val="18"/>
          <w:szCs w:val="18"/>
          <w:rtl/>
          <w:lang w:bidi="ar-EG"/>
        </w:rPr>
        <w:t xml:space="preserve"> دار الكتاب اللّبنانيّ، 1987م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كارل بروكلمان، ترجمة: عبد الحليم النّجار، ، </w:t>
      </w:r>
      <w:r w:rsidRPr="00834272">
        <w:rPr>
          <w:rFonts w:asciiTheme="majorBidi" w:hAnsiTheme="majorBidi" w:cstheme="majorBidi"/>
          <w:b/>
          <w:bCs/>
          <w:sz w:val="18"/>
          <w:szCs w:val="18"/>
          <w:rtl/>
        </w:rPr>
        <w:t>(تاريخ الأدب العربيّ) ،</w:t>
      </w:r>
      <w:r w:rsidRPr="00834272">
        <w:rPr>
          <w:rFonts w:asciiTheme="majorBidi" w:hAnsiTheme="majorBidi" w:cstheme="majorBidi"/>
          <w:b/>
          <w:bCs/>
          <w:sz w:val="18"/>
          <w:szCs w:val="18"/>
          <w:rtl/>
          <w:lang w:bidi="ar-EG"/>
        </w:rPr>
        <w:t xml:space="preserve"> مصر، دار المعارف، 1961م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حسين علي محمد, </w:t>
      </w:r>
      <w:r w:rsidRPr="00834272">
        <w:rPr>
          <w:rFonts w:asciiTheme="majorBidi" w:hAnsiTheme="majorBidi" w:cstheme="majorBidi"/>
          <w:b/>
          <w:bCs/>
          <w:sz w:val="18"/>
          <w:szCs w:val="18"/>
          <w:rtl/>
        </w:rPr>
        <w:t>(التّحرير الأدبيّ) ،</w:t>
      </w:r>
      <w:r w:rsidRPr="00834272">
        <w:rPr>
          <w:rFonts w:asciiTheme="majorBidi" w:hAnsiTheme="majorBidi" w:cstheme="majorBidi"/>
          <w:b/>
          <w:bCs/>
          <w:sz w:val="18"/>
          <w:szCs w:val="18"/>
          <w:rtl/>
          <w:lang w:bidi="ar-EG"/>
        </w:rPr>
        <w:t xml:space="preserve"> الرياض، مكتبة العبيكان، 1996م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طاهر أحمد مكي، </w:t>
      </w:r>
      <w:r w:rsidRPr="00834272">
        <w:rPr>
          <w:rFonts w:asciiTheme="majorBidi" w:hAnsiTheme="majorBidi" w:cstheme="majorBidi"/>
          <w:b/>
          <w:bCs/>
          <w:sz w:val="18"/>
          <w:szCs w:val="18"/>
          <w:rtl/>
        </w:rPr>
        <w:t>(مصادر الأدب) ،</w:t>
      </w:r>
      <w:r w:rsidRPr="00834272">
        <w:rPr>
          <w:rFonts w:asciiTheme="majorBidi" w:hAnsiTheme="majorBidi" w:cstheme="majorBidi"/>
          <w:b/>
          <w:bCs/>
          <w:sz w:val="18"/>
          <w:szCs w:val="18"/>
          <w:rtl/>
          <w:lang w:bidi="ar-EG"/>
        </w:rPr>
        <w:t xml:space="preserve"> مصر، دار المعارف، 1977م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عز الدين إسماعيل، </w:t>
      </w:r>
      <w:r w:rsidRPr="00834272">
        <w:rPr>
          <w:rFonts w:asciiTheme="majorBidi" w:hAnsiTheme="majorBidi" w:cstheme="majorBidi"/>
          <w:b/>
          <w:bCs/>
          <w:sz w:val="18"/>
          <w:szCs w:val="18"/>
          <w:rtl/>
        </w:rPr>
        <w:t>(المصادر الأدبيّة واللّغويّة في التّراث الأدبيّ) ،</w:t>
      </w:r>
      <w:r w:rsidRPr="00834272">
        <w:rPr>
          <w:rFonts w:asciiTheme="majorBidi" w:hAnsiTheme="majorBidi" w:cstheme="majorBidi"/>
          <w:b/>
          <w:bCs/>
          <w:sz w:val="18"/>
          <w:szCs w:val="18"/>
          <w:rtl/>
          <w:lang w:bidi="ar-EG"/>
        </w:rPr>
        <w:t xml:space="preserve"> بيروت، دار النّهضة العربيّة, 1976م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عائشة عبد الرحمن، </w:t>
      </w:r>
      <w:r w:rsidRPr="00834272">
        <w:rPr>
          <w:rFonts w:asciiTheme="majorBidi" w:hAnsiTheme="majorBidi" w:cstheme="majorBidi"/>
          <w:b/>
          <w:bCs/>
          <w:sz w:val="18"/>
          <w:szCs w:val="18"/>
          <w:rtl/>
        </w:rPr>
        <w:t>(مقدّمة في المنهج) ،</w:t>
      </w:r>
      <w:r w:rsidRPr="00834272">
        <w:rPr>
          <w:rFonts w:asciiTheme="majorBidi" w:hAnsiTheme="majorBidi" w:cstheme="majorBidi"/>
          <w:b/>
          <w:bCs/>
          <w:sz w:val="18"/>
          <w:szCs w:val="18"/>
          <w:rtl/>
          <w:lang w:bidi="ar-EG"/>
        </w:rPr>
        <w:t xml:space="preserve"> طبعة معهد البحوث والدّراسات العربيّة, 1971م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مصطفى الشكعة، </w:t>
      </w:r>
      <w:r w:rsidRPr="00834272">
        <w:rPr>
          <w:rFonts w:asciiTheme="majorBidi" w:hAnsiTheme="majorBidi" w:cstheme="majorBidi"/>
          <w:b/>
          <w:bCs/>
          <w:sz w:val="18"/>
          <w:szCs w:val="18"/>
          <w:rtl/>
        </w:rPr>
        <w:t>(مناهج التّأليف عند العلماء العرب) ،</w:t>
      </w:r>
      <w:r w:rsidRPr="00834272">
        <w:rPr>
          <w:rFonts w:asciiTheme="majorBidi" w:hAnsiTheme="majorBidi" w:cstheme="majorBidi"/>
          <w:b/>
          <w:bCs/>
          <w:sz w:val="18"/>
          <w:szCs w:val="18"/>
          <w:rtl/>
          <w:lang w:bidi="ar-EG"/>
        </w:rPr>
        <w:t xml:space="preserve"> دار العلم للملايين, 1974م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أمجد الطرابلسي، </w:t>
      </w:r>
      <w:r w:rsidRPr="00834272">
        <w:rPr>
          <w:rFonts w:asciiTheme="majorBidi" w:hAnsiTheme="majorBidi" w:cstheme="majorBidi"/>
          <w:b/>
          <w:bCs/>
          <w:sz w:val="18"/>
          <w:szCs w:val="18"/>
          <w:rtl/>
        </w:rPr>
        <w:t>(نظرة تاريخيّة في حركة التّأليف عند العرب في اللّغة والأدب) ،</w:t>
      </w:r>
      <w:r w:rsidRPr="00834272">
        <w:rPr>
          <w:rFonts w:asciiTheme="majorBidi" w:hAnsiTheme="majorBidi" w:cstheme="majorBidi"/>
          <w:b/>
          <w:bCs/>
          <w:sz w:val="18"/>
          <w:szCs w:val="18"/>
          <w:rtl/>
          <w:lang w:bidi="ar-EG"/>
        </w:rPr>
        <w:t xml:space="preserve"> مكتبة الفتح، 1976م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أحمد مختار عمر، </w:t>
      </w:r>
      <w:r w:rsidRPr="00834272">
        <w:rPr>
          <w:rFonts w:asciiTheme="majorBidi" w:hAnsiTheme="majorBidi" w:cstheme="majorBidi"/>
          <w:b/>
          <w:bCs/>
          <w:sz w:val="18"/>
          <w:szCs w:val="18"/>
          <w:rtl/>
        </w:rPr>
        <w:t>(أخطاء اللّغة العربيّة المعاصرة) ،</w:t>
      </w:r>
      <w:r w:rsidRPr="00834272">
        <w:rPr>
          <w:rFonts w:asciiTheme="majorBidi" w:hAnsiTheme="majorBidi" w:cstheme="majorBidi"/>
          <w:b/>
          <w:bCs/>
          <w:sz w:val="18"/>
          <w:szCs w:val="18"/>
          <w:rtl/>
          <w:lang w:bidi="ar-EG"/>
        </w:rPr>
        <w:t xml:space="preserve"> بيروت، عالم الكتب, 1991م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tl/>
        </w:rPr>
      </w:pPr>
      <w:r w:rsidRPr="00834272">
        <w:rPr>
          <w:rFonts w:asciiTheme="majorBidi" w:hAnsiTheme="majorBidi" w:cstheme="majorBidi"/>
          <w:b/>
          <w:bCs/>
          <w:sz w:val="18"/>
          <w:szCs w:val="18"/>
          <w:rtl/>
          <w:lang w:bidi="ar-EG"/>
        </w:rPr>
        <w:t xml:space="preserve">فتحي الخولي،  </w:t>
      </w:r>
      <w:r w:rsidRPr="00834272">
        <w:rPr>
          <w:rFonts w:asciiTheme="majorBidi" w:hAnsiTheme="majorBidi" w:cstheme="majorBidi"/>
          <w:b/>
          <w:bCs/>
          <w:sz w:val="18"/>
          <w:szCs w:val="18"/>
          <w:rtl/>
        </w:rPr>
        <w:t>(دليل الإملاء وقواعد الكتابة العربيّة) ،</w:t>
      </w:r>
      <w:r w:rsidRPr="00834272">
        <w:rPr>
          <w:rFonts w:asciiTheme="majorBidi" w:hAnsiTheme="majorBidi" w:cstheme="majorBidi"/>
          <w:b/>
          <w:bCs/>
          <w:sz w:val="18"/>
          <w:szCs w:val="18"/>
          <w:rtl/>
          <w:lang w:bidi="ar-EG"/>
        </w:rPr>
        <w:t xml:space="preserve"> القاهرة، مكتبة وهبة، 1973م</w:t>
      </w:r>
    </w:p>
    <w:p w:rsidR="00EC52CB" w:rsidRPr="00834272" w:rsidRDefault="00EC52CB" w:rsidP="00EC52CB">
      <w:pPr>
        <w:numPr>
          <w:ilvl w:val="0"/>
          <w:numId w:val="1"/>
        </w:numPr>
        <w:spacing w:after="120" w:line="240" w:lineRule="auto"/>
        <w:jc w:val="lowKashida"/>
        <w:rPr>
          <w:rFonts w:asciiTheme="majorBidi" w:hAnsiTheme="majorBidi" w:cstheme="majorBidi"/>
          <w:b/>
          <w:bCs/>
          <w:sz w:val="18"/>
          <w:szCs w:val="18"/>
        </w:rPr>
      </w:pPr>
      <w:r w:rsidRPr="00834272">
        <w:rPr>
          <w:rFonts w:asciiTheme="majorBidi" w:hAnsiTheme="majorBidi" w:cstheme="majorBidi"/>
          <w:b/>
          <w:bCs/>
          <w:sz w:val="18"/>
          <w:szCs w:val="18"/>
          <w:rtl/>
          <w:lang w:bidi="ar-EG"/>
        </w:rPr>
        <w:t xml:space="preserve">محمد مندور، </w:t>
      </w:r>
      <w:r w:rsidRPr="00834272">
        <w:rPr>
          <w:rFonts w:asciiTheme="majorBidi" w:hAnsiTheme="majorBidi" w:cstheme="majorBidi"/>
          <w:b/>
          <w:bCs/>
          <w:sz w:val="18"/>
          <w:szCs w:val="18"/>
          <w:rtl/>
        </w:rPr>
        <w:t xml:space="preserve">(في الميزان الجديد) </w:t>
      </w:r>
      <w:r w:rsidRPr="00834272">
        <w:rPr>
          <w:rFonts w:asciiTheme="majorBidi" w:hAnsiTheme="majorBidi" w:cstheme="majorBidi"/>
          <w:b/>
          <w:bCs/>
          <w:sz w:val="18"/>
          <w:szCs w:val="18"/>
          <w:rtl/>
          <w:lang w:bidi="ar-EG"/>
        </w:rPr>
        <w:t>، القاهرة، دار  نهضة مصر للطباعة والنّشر, 1944م.</w:t>
      </w:r>
    </w:p>
    <w:p w:rsidR="00834272" w:rsidRDefault="00834272" w:rsidP="00EC52CB">
      <w:pPr>
        <w:pStyle w:val="a3"/>
        <w:bidi/>
        <w:spacing w:before="0" w:beforeAutospacing="0" w:after="120" w:afterAutospacing="0" w:line="500" w:lineRule="exact"/>
        <w:jc w:val="lowKashida"/>
        <w:rPr>
          <w:rFonts w:asciiTheme="majorBidi" w:hAnsiTheme="majorBidi" w:cstheme="majorBidi"/>
          <w:sz w:val="32"/>
          <w:szCs w:val="32"/>
          <w:rtl/>
        </w:rPr>
        <w:sectPr w:rsidR="00834272" w:rsidSect="00834272">
          <w:type w:val="continuous"/>
          <w:pgSz w:w="11906" w:h="16838"/>
          <w:pgMar w:top="964" w:right="1021" w:bottom="964" w:left="1021" w:header="709" w:footer="709" w:gutter="0"/>
          <w:cols w:num="2" w:space="708"/>
          <w:bidi/>
          <w:rtlGutter/>
          <w:docGrid w:linePitch="360"/>
        </w:sectPr>
      </w:pPr>
    </w:p>
    <w:p w:rsidR="00EC52CB" w:rsidRPr="00EC52CB" w:rsidRDefault="00EC52CB" w:rsidP="00EC52CB">
      <w:pPr>
        <w:pStyle w:val="a3"/>
        <w:bidi/>
        <w:spacing w:before="0" w:beforeAutospacing="0" w:after="120" w:afterAutospacing="0" w:line="500" w:lineRule="exact"/>
        <w:jc w:val="lowKashida"/>
        <w:rPr>
          <w:rFonts w:asciiTheme="majorBidi" w:hAnsiTheme="majorBidi" w:cstheme="majorBidi"/>
          <w:sz w:val="32"/>
          <w:szCs w:val="32"/>
          <w:rtl/>
        </w:rPr>
      </w:pPr>
    </w:p>
    <w:p w:rsidR="00EC52CB" w:rsidRPr="001D6929" w:rsidRDefault="00EC52CB" w:rsidP="00EC52CB">
      <w:pPr>
        <w:spacing w:after="120" w:line="520" w:lineRule="exact"/>
        <w:jc w:val="lowKashida"/>
        <w:rPr>
          <w:rFonts w:asciiTheme="majorBidi" w:hAnsiTheme="majorBidi" w:cstheme="majorBidi"/>
          <w:sz w:val="32"/>
          <w:szCs w:val="32"/>
          <w:rtl/>
        </w:rPr>
      </w:pPr>
    </w:p>
    <w:p w:rsidR="00EC52CB" w:rsidRPr="001D6929" w:rsidRDefault="00EC52CB" w:rsidP="00EC52CB">
      <w:pPr>
        <w:spacing w:after="120" w:line="520" w:lineRule="exact"/>
        <w:jc w:val="lowKashida"/>
        <w:rPr>
          <w:rFonts w:asciiTheme="majorBidi" w:hAnsiTheme="majorBidi" w:cstheme="majorBidi"/>
          <w:sz w:val="32"/>
          <w:szCs w:val="32"/>
          <w:rtl/>
        </w:rPr>
      </w:pPr>
    </w:p>
    <w:p w:rsidR="00EC52CB" w:rsidRPr="00EC52CB" w:rsidRDefault="00EC52CB" w:rsidP="00EC52CB">
      <w:pPr>
        <w:rPr>
          <w:i/>
          <w:iCs/>
        </w:rPr>
      </w:pPr>
    </w:p>
    <w:sectPr w:rsidR="00EC52CB" w:rsidRPr="00EC52CB" w:rsidSect="0083427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15688"/>
    <w:multiLevelType w:val="hybridMultilevel"/>
    <w:tmpl w:val="12ACD8CE"/>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C52CB"/>
    <w:rsid w:val="000B3A30"/>
    <w:rsid w:val="001B63B0"/>
    <w:rsid w:val="004579A3"/>
    <w:rsid w:val="00514443"/>
    <w:rsid w:val="00834272"/>
    <w:rsid w:val="008E7614"/>
    <w:rsid w:val="009556CB"/>
    <w:rsid w:val="00A110B6"/>
    <w:rsid w:val="00BF7572"/>
    <w:rsid w:val="00E01FBC"/>
    <w:rsid w:val="00EC52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52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342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2013-06-12T13:53:00Z</dcterms:created>
  <dcterms:modified xsi:type="dcterms:W3CDTF">2013-06-17T11:07:00Z</dcterms:modified>
</cp:coreProperties>
</file>