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D0246" w:rsidP="005C4857">
      <w:pPr>
        <w:spacing w:line="240" w:lineRule="auto"/>
        <w:jc w:val="center"/>
        <w:rPr>
          <w:rFonts w:asciiTheme="majorBidi" w:eastAsia="Calibri" w:hAnsiTheme="majorBidi" w:cstheme="majorBidi"/>
          <w:i/>
          <w:iCs/>
          <w:sz w:val="48"/>
          <w:szCs w:val="48"/>
          <w:rtl/>
        </w:rPr>
      </w:pPr>
      <w:r w:rsidRPr="00DD0246">
        <w:rPr>
          <w:rFonts w:asciiTheme="majorBidi" w:eastAsia="Calibri" w:hAnsiTheme="majorBidi" w:cstheme="majorBidi"/>
          <w:i/>
          <w:iCs/>
          <w:sz w:val="48"/>
          <w:szCs w:val="48"/>
          <w:rtl/>
        </w:rPr>
        <w:t>أهم المناهج البحثية المنهج المتكامل</w:t>
      </w:r>
      <w:r w:rsidR="005C4857">
        <w:rPr>
          <w:rFonts w:asciiTheme="majorBidi" w:eastAsia="Calibri" w:hAnsiTheme="majorBidi" w:cstheme="majorBidi" w:hint="cs"/>
          <w:i/>
          <w:iCs/>
          <w:sz w:val="48"/>
          <w:szCs w:val="48"/>
          <w:rtl/>
        </w:rPr>
        <w:t xml:space="preserve"> 1</w:t>
      </w:r>
    </w:p>
    <w:p w:rsidR="00DD0246" w:rsidRPr="00B11401" w:rsidRDefault="00DD0246" w:rsidP="00DD0246">
      <w:pPr>
        <w:spacing w:line="240" w:lineRule="auto"/>
        <w:jc w:val="center"/>
        <w:rPr>
          <w:i/>
          <w:iCs/>
          <w:sz w:val="28"/>
          <w:szCs w:val="28"/>
          <w:rtl/>
          <w:lang w:bidi="ar-EG"/>
        </w:rPr>
      </w:pPr>
      <w:r w:rsidRPr="00B11401">
        <w:rPr>
          <w:rFonts w:hint="cs"/>
          <w:i/>
          <w:iCs/>
          <w:sz w:val="28"/>
          <w:szCs w:val="28"/>
          <w:rtl/>
          <w:lang w:bidi="ar-EG"/>
        </w:rPr>
        <w:t xml:space="preserve">بحث </w:t>
      </w:r>
      <w:proofErr w:type="spellStart"/>
      <w:r w:rsidRPr="00B11401">
        <w:rPr>
          <w:rFonts w:hint="cs"/>
          <w:i/>
          <w:iCs/>
          <w:sz w:val="28"/>
          <w:szCs w:val="28"/>
          <w:rtl/>
          <w:lang w:bidi="ar-EG"/>
        </w:rPr>
        <w:t>فى</w:t>
      </w:r>
      <w:proofErr w:type="spellEnd"/>
      <w:r w:rsidRPr="00B11401">
        <w:rPr>
          <w:rFonts w:hint="cs"/>
          <w:i/>
          <w:iCs/>
          <w:sz w:val="28"/>
          <w:szCs w:val="28"/>
          <w:rtl/>
          <w:lang w:bidi="ar-EG"/>
        </w:rPr>
        <w:t xml:space="preserve"> أصول البحث الادبى </w:t>
      </w:r>
    </w:p>
    <w:p w:rsidR="00DD0246" w:rsidRPr="00294A2D" w:rsidRDefault="00DD0246" w:rsidP="005C4857">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5C4857" w:rsidRPr="005C4857">
        <w:rPr>
          <w:rFonts w:asciiTheme="majorBidi" w:hAnsiTheme="majorBidi" w:cstheme="majorBidi" w:hint="cs"/>
          <w:rtl/>
          <w:lang w:bidi="ar-EG"/>
        </w:rPr>
        <w:t>شادية بيومي حامد</w:t>
      </w:r>
    </w:p>
    <w:p w:rsidR="00DD0246" w:rsidRPr="00207A5C" w:rsidRDefault="00DD0246" w:rsidP="00DD0246">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DD0246" w:rsidRPr="0089766D" w:rsidRDefault="00804BC4" w:rsidP="00DD0246">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DD0246" w:rsidRPr="0089766D">
        <w:rPr>
          <w:rFonts w:asciiTheme="majorBidi" w:hAnsiTheme="majorBidi" w:cstheme="majorBidi"/>
          <w:i/>
          <w:iCs/>
          <w:sz w:val="20"/>
          <w:szCs w:val="20"/>
          <w:rtl/>
        </w:rPr>
        <w:t>– جامعة المدينة العالمية</w:t>
      </w:r>
    </w:p>
    <w:p w:rsidR="00DD0246" w:rsidRPr="0089766D" w:rsidRDefault="00DD0246" w:rsidP="00DD0246">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DD0246" w:rsidRPr="0089766D" w:rsidRDefault="005C4857" w:rsidP="00DD0246">
      <w:pPr>
        <w:spacing w:line="240" w:lineRule="auto"/>
        <w:jc w:val="center"/>
        <w:rPr>
          <w:rFonts w:asciiTheme="majorBidi" w:hAnsiTheme="majorBidi" w:cstheme="majorBidi"/>
          <w:i/>
          <w:iCs/>
          <w:sz w:val="20"/>
          <w:szCs w:val="20"/>
        </w:rPr>
      </w:pPr>
      <w:r w:rsidRPr="005C4857">
        <w:rPr>
          <w:rFonts w:asciiTheme="majorBidi" w:hAnsiTheme="majorBidi" w:cstheme="majorBidi"/>
          <w:i/>
          <w:iCs/>
          <w:sz w:val="20"/>
          <w:szCs w:val="20"/>
          <w:lang w:bidi="ar-EG"/>
        </w:rPr>
        <w:t>shadia@mediu.ws</w:t>
      </w:r>
    </w:p>
    <w:p w:rsidR="00DD0246" w:rsidRDefault="00DD0246" w:rsidP="00DD0246">
      <w:pPr>
        <w:spacing w:after="120" w:line="240" w:lineRule="auto"/>
        <w:jc w:val="lowKashida"/>
        <w:rPr>
          <w:rFonts w:asciiTheme="majorBidi" w:hAnsiTheme="majorBidi" w:cstheme="majorBidi"/>
          <w:b/>
          <w:bCs/>
          <w:sz w:val="18"/>
          <w:szCs w:val="18"/>
          <w:rtl/>
        </w:rPr>
        <w:sectPr w:rsidR="00DD0246" w:rsidSect="00BF7572">
          <w:pgSz w:w="11906" w:h="16838"/>
          <w:pgMar w:top="964" w:right="1021" w:bottom="964" w:left="1021" w:header="709" w:footer="709" w:gutter="0"/>
          <w:cols w:space="708"/>
          <w:bidi/>
          <w:rtlGutter/>
          <w:docGrid w:linePitch="360"/>
        </w:sectPr>
      </w:pP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rPr>
        <w:lastRenderedPageBreak/>
        <w:t>خلاصة ـــ هذا البحث يبحث في</w:t>
      </w:r>
      <w:r w:rsidRPr="00DD0246">
        <w:rPr>
          <w:rFonts w:asciiTheme="majorBidi" w:eastAsia="Calibri" w:hAnsiTheme="majorBidi" w:cstheme="majorBidi"/>
          <w:b/>
          <w:bCs/>
          <w:sz w:val="18"/>
          <w:szCs w:val="18"/>
          <w:rtl/>
        </w:rPr>
        <w:t xml:space="preserve"> أهم المناهج البحثية: المنهج المتكامل </w:t>
      </w:r>
    </w:p>
    <w:p w:rsidR="00DD0246" w:rsidRPr="00DD0246" w:rsidRDefault="00DD0246" w:rsidP="00DD0246">
      <w:pPr>
        <w:spacing w:after="120" w:line="240" w:lineRule="auto"/>
        <w:jc w:val="lowKashida"/>
        <w:rPr>
          <w:rFonts w:asciiTheme="majorBidi" w:hAnsiTheme="majorBidi" w:cstheme="majorBidi"/>
          <w:b/>
          <w:bCs/>
          <w:sz w:val="18"/>
          <w:szCs w:val="18"/>
          <w:rtl/>
          <w:lang w:bidi="ar-EG"/>
        </w:rPr>
      </w:pPr>
      <w:r w:rsidRPr="00DD0246">
        <w:rPr>
          <w:rFonts w:asciiTheme="majorBidi" w:hAnsiTheme="majorBidi" w:cstheme="majorBidi"/>
          <w:b/>
          <w:bCs/>
          <w:sz w:val="18"/>
          <w:szCs w:val="18"/>
          <w:rtl/>
        </w:rPr>
        <w:t>الكلمات المفتاحية :</w:t>
      </w:r>
      <w:r w:rsidRPr="00DD0246">
        <w:rPr>
          <w:rFonts w:asciiTheme="majorBidi" w:hAnsiTheme="majorBidi" w:cstheme="majorBidi"/>
          <w:b/>
          <w:bCs/>
          <w:sz w:val="18"/>
          <w:szCs w:val="18"/>
          <w:rtl/>
          <w:lang w:bidi="ar-EG"/>
        </w:rPr>
        <w:t xml:space="preserve"> الحديث</w:t>
      </w:r>
      <w:r w:rsidRPr="00DD0246">
        <w:rPr>
          <w:rFonts w:asciiTheme="majorBidi" w:hAnsiTheme="majorBidi" w:cstheme="majorBidi"/>
          <w:b/>
          <w:bCs/>
          <w:sz w:val="18"/>
          <w:szCs w:val="18"/>
          <w:rtl/>
        </w:rPr>
        <w:t xml:space="preserve"> ،</w:t>
      </w:r>
      <w:r w:rsidRPr="00DD0246">
        <w:rPr>
          <w:rFonts w:asciiTheme="majorBidi" w:hAnsiTheme="majorBidi" w:cstheme="majorBidi"/>
          <w:b/>
          <w:bCs/>
          <w:sz w:val="18"/>
          <w:szCs w:val="18"/>
          <w:rtl/>
          <w:lang w:bidi="ar-EG"/>
        </w:rPr>
        <w:t xml:space="preserve"> البحث الأدبي</w:t>
      </w:r>
      <w:r w:rsidRPr="00DD0246">
        <w:rPr>
          <w:rFonts w:asciiTheme="majorBidi" w:hAnsiTheme="majorBidi" w:cstheme="majorBidi"/>
          <w:b/>
          <w:bCs/>
          <w:sz w:val="18"/>
          <w:szCs w:val="18"/>
          <w:rtl/>
        </w:rPr>
        <w:t xml:space="preserve"> ، </w:t>
      </w:r>
      <w:r w:rsidRPr="00DD0246">
        <w:rPr>
          <w:rFonts w:asciiTheme="majorBidi" w:hAnsiTheme="majorBidi" w:cstheme="majorBidi"/>
          <w:b/>
          <w:bCs/>
          <w:sz w:val="18"/>
          <w:szCs w:val="18"/>
          <w:rtl/>
          <w:lang w:bidi="ar-EG"/>
        </w:rPr>
        <w:t>العصر الحديث</w:t>
      </w:r>
    </w:p>
    <w:p w:rsidR="00DD0246" w:rsidRPr="00DD0246" w:rsidRDefault="00DD0246" w:rsidP="00DD0246">
      <w:pPr>
        <w:pStyle w:val="a5"/>
        <w:numPr>
          <w:ilvl w:val="0"/>
          <w:numId w:val="2"/>
        </w:numPr>
        <w:spacing w:after="120" w:line="240" w:lineRule="auto"/>
        <w:jc w:val="center"/>
        <w:rPr>
          <w:rFonts w:asciiTheme="majorBidi" w:hAnsiTheme="majorBidi" w:cstheme="majorBidi"/>
          <w:b/>
          <w:bCs/>
          <w:sz w:val="18"/>
          <w:szCs w:val="18"/>
          <w:rtl/>
        </w:rPr>
      </w:pPr>
      <w:r w:rsidRPr="00DD0246">
        <w:rPr>
          <w:rFonts w:asciiTheme="majorBidi" w:hAnsiTheme="majorBidi" w:cstheme="majorBidi"/>
          <w:b/>
          <w:bCs/>
          <w:sz w:val="18"/>
          <w:szCs w:val="18"/>
          <w:rtl/>
        </w:rPr>
        <w:t>المقدمة</w:t>
      </w:r>
    </w:p>
    <w:p w:rsidR="00DD0246" w:rsidRPr="00DD0246" w:rsidRDefault="00DD0246" w:rsidP="00DD0246">
      <w:pPr>
        <w:pStyle w:val="a3"/>
        <w:bidi/>
        <w:spacing w:before="0" w:beforeAutospacing="0" w:after="120" w:afterAutospacing="0"/>
        <w:jc w:val="lowKashida"/>
        <w:rPr>
          <w:rFonts w:asciiTheme="majorBidi" w:hAnsiTheme="majorBidi" w:cstheme="majorBidi"/>
          <w:b/>
          <w:bCs/>
          <w:sz w:val="18"/>
          <w:szCs w:val="18"/>
          <w:rtl/>
        </w:rPr>
      </w:pPr>
      <w:r w:rsidRPr="00DD0246">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D0246">
        <w:rPr>
          <w:rFonts w:asciiTheme="majorBidi" w:eastAsia="Calibri" w:hAnsiTheme="majorBidi" w:cstheme="majorBidi"/>
          <w:b/>
          <w:bCs/>
          <w:sz w:val="18"/>
          <w:szCs w:val="18"/>
          <w:rtl/>
        </w:rPr>
        <w:t>أهم المناهج البحثية: المنهج المتكامل </w:t>
      </w:r>
    </w:p>
    <w:p w:rsidR="00DD0246" w:rsidRPr="00DD0246" w:rsidRDefault="00DD0246" w:rsidP="00DD0246">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DD0246">
        <w:rPr>
          <w:rFonts w:asciiTheme="majorBidi" w:hAnsiTheme="majorBidi" w:cstheme="majorBidi"/>
          <w:b/>
          <w:bCs/>
          <w:sz w:val="18"/>
          <w:szCs w:val="18"/>
          <w:rtl/>
        </w:rPr>
        <w:t>عنوان المقال</w:t>
      </w:r>
    </w:p>
    <w:p w:rsidR="00DD0246" w:rsidRPr="00DD0246" w:rsidRDefault="00DD0246" w:rsidP="00DD0246">
      <w:pPr>
        <w:spacing w:before="100" w:beforeAutospacing="1"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اتضح لنا من خلال الحديث عن مناهج البحث الأدبي في العصر الحديث أن علماء الأدب وباحيثه لم يتفقوا على منهج واحد يمكن أن يلتزم به جميع الباحثين في الأدب والدارسين له، ورأينا أن هناك مناهج متعددة مختلفة اختلافًا بينًا، وكأن الأدب أعقد من أن يحيط به منهج، أو أن البحث الأدبي أعقد من أن يخضع لمنهج واحد.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ولما كانت الغاية من البحث الأدبي والوصول إلى نتائج دقيقة، كان من اللازم أن يسلك الباحث منهجًا يجمع بين جميع المناهج، نحن عرفنا من المناهج: المنهج النفسي، والمنهج التاريخي، والمنهج الجمالي، وكل منهج له عيوبه، وله قيمته في مجال الدراسات الأدبية. </w:t>
      </w:r>
    </w:p>
    <w:p w:rsidR="00DD0246" w:rsidRPr="00DD0246" w:rsidRDefault="00DD0246" w:rsidP="00DD0246">
      <w:pPr>
        <w:spacing w:after="120" w:line="240" w:lineRule="auto"/>
        <w:jc w:val="lowKashida"/>
        <w:rPr>
          <w:rFonts w:asciiTheme="majorBidi" w:hAnsiTheme="majorBidi" w:cstheme="majorBidi"/>
          <w:b/>
          <w:bCs/>
          <w:spacing w:val="-4"/>
          <w:sz w:val="18"/>
          <w:szCs w:val="18"/>
          <w:rtl/>
        </w:rPr>
      </w:pPr>
      <w:r w:rsidRPr="00DD0246">
        <w:rPr>
          <w:rFonts w:asciiTheme="majorBidi" w:hAnsiTheme="majorBidi" w:cstheme="majorBidi"/>
          <w:b/>
          <w:bCs/>
          <w:spacing w:val="-4"/>
          <w:sz w:val="18"/>
          <w:szCs w:val="18"/>
          <w:rtl/>
          <w:lang w:bidi="ar-EG"/>
        </w:rPr>
        <w:t>الغاية من البحث الأدبي: أن نصل إلى نتائج دقيقة، نتائج شاملة. لا يمكن أن نصل إلى هذه النتائج إلا إذا كان هناك منهج يأخذ من هذه المناهج جميعها في آن واحد، ولكن ما اسم هذا المنهج؟ وما حقيقته؟ وكيف يتحقق؟ ما اسم هذا المنهج الذي يجمع بين المناهج جميعها في آن واحد، ونصل من خلاله إلى نتائج دقيقة تتسم بالمصداقية؟ هذا المنهج هو الذي يسمى: بالمنهج المتكامل، أو المنهج التكاملي.</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ومن حق الباحث أن يستخدم في بحثه أكثر من منهج،  ما دام ذلك يتيح له التعرف على جوانب أكثر بالنسبة لموضوعه، ويمكنه من الوصول إلى نتائج أكثر موضوعية وشمولية، خاصة أن المناهج البحثية متداخلة، فالمنهج النفسي يتداخل مع المنهج التاريخي، والمنهج التاريخي يتداخل مع الجمالي، والمنهج الجمالي يتداخل مع المنهج النفسي، وهكذا لا يمكن أن نضع حدود فاصلة بين المناهج. فمن حق الباحث أن يستخدم في بحثه أكثر من منهج، طالما أن ذلك سيوصله إلى نتائج دقيقة.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ولو تأملنا طبيعة الأدب  وعناصر العمل الأدبي؛ لتأكد لنا أنه يحتاج إلى أكثر من منهج للكشف عن حقائقه. ولا يستطيع منهج واحد أن يكشف عن تلك الحقائق وتجليتها؛ فالعمل الأدبي نتاج نفس إنسانية، وبمقدار ما تحمله تلك النفس من أسرار، وما يشكلها من مؤثرات خارجية، يكون ذلك العمل الأدبي.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فالعمل الأدبي يموج بالحياة من داخلها موجان النفس البشرية، وإن كان في نظر البسطاء مجرد كلام ينقل لنا فكرًا المبدع، ويصور أحاسيسه، ويترك فينا لونا من المتعة. هذه صورته التي نراها، ولكن لو فتشنا في حقيقته، لو حللناه لرأينا أنه عمل مركب، ويحمل عدة دلالات مختلفة من شأن الباحث الفطن الكشف عنها، ففيه دلالة على شخصية الأديب، ونفسيته، وفكره، ولغته، وفيه صورة للعصر والبيئة، بالإضافة إلى ما يحمله من مجموعة الخصائص الفنية التي اتحدت، وكونت ذلك البناء الفني.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ومثل الباحث الأدبي كمثل الغواص يجوب أعماق البحار؛ ليكشف عن أسرارها، ويصور لنا الحياة بداخلها. إذا كانت تلك هي طبيعة العمل الفني، وهذه هي طبيعة الباحث فيه، فليس من اللائق أن يسلك الباحث منهجا جزئيا في بحثه؛ يكشف له عن جانب واحد من جوانب متعددة؛ لأنه لن يصل من خلاله إلى نتائج كاملة صحيحة، يمكننا أن نعدها حكمًا صادقًا على العمل وصاحبه، هذا لا يليق بأي حال من الأحوال، وقد اتضح لنا من خلال حديثنا عن المناهج البحثية في العصر الحديث  أن لكل منهج عيوبه التي تقدح فيه، وتجعله قاصرًا عن الوصول إلى نتائج كاملة في مجال البحث الأدبي، أو الموضوع الذي يبحث فيه؛  لأنها لا تنظر إلى العمل الأدبي من جميع الجوانب، إنما تتناوله من جانب واحد، فالمنهج التاريخي مثلًا: يربط بين البيئة والأدب برباط وثيق، ويفسر العمل الأدبي على </w:t>
      </w:r>
      <w:r w:rsidRPr="00DD0246">
        <w:rPr>
          <w:rFonts w:asciiTheme="majorBidi" w:hAnsiTheme="majorBidi" w:cstheme="majorBidi"/>
          <w:b/>
          <w:bCs/>
          <w:sz w:val="18"/>
          <w:szCs w:val="18"/>
          <w:rtl/>
          <w:lang w:bidi="ar-EG"/>
        </w:rPr>
        <w:lastRenderedPageBreak/>
        <w:t xml:space="preserve">أساس ذلك الرباط متجاهلا ذات الأديب، وما يعتمل في فيها من مشاعر وأحاسيس، ويأتي المنهج النفسي على النقيض من ذلك تمامًا؛ المنهج النفسي لا ينظر إلى البيئة، ولا ينظر إلى العصر، ولا إلى الأحداث، يعني: لا يربط بين العمل الأدبي وبيئته، وإنما يولي اهتمامه إلى نفس الأديب المبدع ذاته، محاولا الغوص في أعماقها، واستخراج ما بها من أزمات وعقد.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وجدير بالذكر، أن تعدد المناهج، وتمسك أصحاب كل منهج بقوانين ثابتة، وردهم الأخذ، أو الإفادة بالمناهج الأخرى أبرز البحث الأدبي في صورة معقدة، وأصابه بالجمود والعقم، وبدا للباحثين أنه لا يخضع لأي من المناهج، والحقيقة غير ذلك تماما؛ إذ ينبغي الأخذ بهذه المناهج مجتمعة، والإفادة منها في مجال البحث الأدبي، وإدماجها في منهج واحد، يجمع بين خصائصها ويتلاشى، أو يبتعد عن عيوبها، ويسمى هذا المنهج -كما قلت-: بالمنهج المتكامل، أو المنهج التكاملي.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فإذا أردنا أن نضع تعريفًا له أو مفهومًا لهذا المنهج التكاملي، فنقول: هو عبارة عن المزج بين مجموعة من المناهج، والأخذ بها، وتطبيقها في آن واحد عند الكشف عن الجوانب المختلفة في الأدب أو الأديب،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وجدير بالذكر، أن الإفادة من هذه المناهج لا تتحقق إلا إذا اتخذت منارات ومعالم يهتدى بها، أما إذا تعامل الباحث معها على أساس أنها قيود أو حدود لا ينبغي تجاوزها، فإنها تضر وتفسد، ولا تنفع؛ لأنها حينئذ تصبح قيودًا على فكر الباحث وحريته.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وإذا أحس الباحث بأن هناك قيدًا يحد من حرية فكره، فلا يمكن أن يستمر، أو يصل إلى الحقيقة من خلال بحثه، كيف نتوصل إلى ذلك المنهج؟ كيف نحقق ما يسمى بالمنهج المتكامل، أو التكاملي؟  كيف نجمع بين المناهج التي ذكرناها النفسي، والتاريخي، والجمالي في وقت واحد؟ كيف يمكننا الإفادة من المناهج جميعها، وتحويلها إلى منهج واحد، منهج سديد نستطيع من خلاله أن نصل إلى نتائج تتسم بالمصداقية والدقة؟ لا يمكن أن نصل إلى هذا المنهج المتكامل إلا من خلال منهج واحد، وهو المنهج الفني.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المنهج الفني: هو الذي نستطيع من خلاله أن نصل إلى منهج متكامل، يعني: يمكن نحقق ما يدعو إليه أصحاب المنهج النفسي من خلال المنهج الفني. نعم، ومن الممكن أن نصل إلى ما يدعو إليه أصحاب المنهج التاريخي من خلال المنهج الفني. نعم، ومن الممكن أن نتعرف على القيم الجمالية التي يبحث عنها أصحاب نظرية الفلسفة الجمالية، أو المنهج الجمالي من خلال المنهج الفني. نعم، هذه حقيقة؛ فالمنهج الفني يتعامل أو يتناول العمل الأدبي، ويقومه معتمدًا على ما فيه من قواعد وأصول فنية مباشرة -هذه حقيقتها. </w:t>
      </w:r>
    </w:p>
    <w:p w:rsidR="00DD0246" w:rsidRPr="00DD0246" w:rsidRDefault="00DD0246" w:rsidP="00DD0246">
      <w:pPr>
        <w:spacing w:after="120" w:line="240" w:lineRule="auto"/>
        <w:jc w:val="lowKashida"/>
        <w:rPr>
          <w:rFonts w:asciiTheme="majorBidi" w:hAnsiTheme="majorBidi" w:cstheme="majorBidi"/>
          <w:b/>
          <w:bCs/>
          <w:sz w:val="18"/>
          <w:szCs w:val="18"/>
          <w:rtl/>
          <w:lang w:bidi="ar-EG"/>
        </w:rPr>
      </w:pPr>
      <w:r w:rsidRPr="00DD0246">
        <w:rPr>
          <w:rFonts w:asciiTheme="majorBidi" w:hAnsiTheme="majorBidi" w:cstheme="majorBidi"/>
          <w:b/>
          <w:bCs/>
          <w:sz w:val="18"/>
          <w:szCs w:val="18"/>
          <w:rtl/>
          <w:lang w:bidi="ar-EG"/>
        </w:rPr>
        <w:t xml:space="preserve">نود أن نعطي فكرة سريعة عن المنهج الفني الذي سنصل من خلاله إلى منهج متكامل؛ حتى نتعلم كيف نصنع منهجًا متكاملًا.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أولا: المنهج الفني يتناول العمل الأدبي، ويقومه متعمدًا   على ما فيه من قواعد وأصول فنية مباشرة مثل:  العاطفة، والخيال، والأفكار، والأسلوب.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هذه العناصر الفنية للأدب، أي: أنه يعتمد في تقويمه على القيم الشعورية، والتعبيرية معًا ليصل من خلال ذلك إلى نتائج تتعلق بالأدب والأديب معًا، دائما النتائج التي يصل إليها البحث من خلال المنهج الفني تتعلق  بالإبداع ذاته، أي: العمل الأدبي، أي: النص الأدبي، وبالمبدع أي: الأديب نفسه، وما يتعلق بهما من بيئة، وعصر، وقضايا -كما سنأخذ نموذجا إن شاء الله بعد قليل-.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والمنهج الفني في حقيقته منهج ذاتي موضوعي، ذاتي؛ لأنه يعتمد على التأثر الذاتي للباحث أولًا. نعم، هناك قيم تعبيرية  تحتاج في التعامل معها  إلى تذوق فني، هذا التذوق موجود لدى الباحث، وهو منهج ذاتي، ثم إنه يعتمد على مجموعة من العناصر الموضوعة، أو المقاييس، والأصول الفنية الثابتة التي اصطلح عليها الباحثون والنقاد. ومن ثم، فهو موضوعي من هذه الناحية، فهو منهج ذاتي موضوعي.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المنهج الفني يحتاج إلى توفر عدة شروط في الباحث، وإلى ألوان من الدراسات الفنية واللغوية؛ كونه يعتمد على التأثر الذاتي، أو كونه منهجًا ذاتيًّا يتطلب أن </w:t>
      </w:r>
      <w:r w:rsidRPr="00DD0246">
        <w:rPr>
          <w:rFonts w:asciiTheme="majorBidi" w:hAnsiTheme="majorBidi" w:cstheme="majorBidi"/>
          <w:b/>
          <w:bCs/>
          <w:sz w:val="18"/>
          <w:szCs w:val="18"/>
          <w:rtl/>
          <w:lang w:bidi="ar-EG"/>
        </w:rPr>
        <w:lastRenderedPageBreak/>
        <w:t xml:space="preserve">يسبق ذلك التأثر ذوق فني رفيع يعتمد على الموهبة الفطرية لدى الباحث، والتجارب الفنية الذاتية، والاطلاع الواسع على مأثور الأدب والنقد؛ حتى يكون التأثر مأمونًا، هو منهج ذاتي؛  لأن الباحث يعتمد في جانب كبير منه على ذوقه.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إذا لابد أن  أن ننمي ذلك الذوق عند الباحث حتى يصبح ذوقه  رفيعًا، لابد أن ندرب تلك  الموهبة الفطرية الموجودة من خلال التجارب الفنية، من خلال الاطلاع الواسع على مأثور الأدب والنقد.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وكونه يتعمد على الأصول الفنية الموضوعية الممثلة في القيم الشعورية والتعبيرية، فإن ذلك يتطلب إحاطة تامة بتلك الأصول،  من خلال منهج فني  يعتمد على عدة معايير أو مقاييس موضوعة،  إذا لابد له أن يتعرف ويحيط إحاطة تامة بتلك المقاييس، أو الأصول.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ولابد أن يكون عنده  صدر رحب، يكون فيه فسحة  تسمح له بتملي ألوان التجارب الشعورية، كما يتطلب وجود خبرة لغوية وفنية، وموهبة خاصة في التعامل مع النص، واستعداد جديد لتقبل الأنماط الجديدة.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عندما يسلك الباحث المنهج الفني، فإنه يعتمد على الأصول الفنية للعمل الأدبي،  يدرسها دراسة تحليلية جيدة، معتمدًا على الملاحظة الدقيقة، والاستقصاء التام، فيدرس العاطفة، ويكشف عن طبيعتها، وقوتها، وصدقها، يقف أمام الصورة الفنية، فيوضح بناءها الفني، ومدى التواؤم بينها وبين العاطفة، ودلالة هذه الصورة على نفسية الأديب، ثم يتناول الأسلوب، وما يتألف منه من ألفاظ، وتراكيب، وإيقاع، ودلالة ذلك كله الدلالة الذاتية، والدلالة الموضوعية، والدلالة البيئية، من خلال ما تحمله من إيحاءات، الصورة لها إيحاء، واللفظة لها إيحاء، والإيقاع له إيحاء، قد يكون الإيقاع له إيحاء ذاتي، وقد يكون له إيحاء موضوعي يتصل بالموضوع نفسه، قد يكون الإيحاء بيئي، وكذا اللفظ، وكل الصور.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كما يكشف أيضا عن الانسجام بين العاطفة والأسلوب، ويتناول الأفكار والمعاني، فيوضح دقتها، وعمقها، ومناسبتها للموضوع، إلى آخر هذه الأشياء التي لابد للباحث على منهج فني أن يتعامل معها ويتناولها. من خلال تناوله لهذه العناصر يمكنه أن يكشف عن البيئة، وعن الجانب النفسي لدى المبدع، كما يمكنه أن يكشف عن القيم الجمالية الموجودة في العمل الأدبي، بمعنى: أنه يمكنه من خلال ذلك الجمع بين عدة مناهج في وقت واحد، وقد ولد المنهج الفني، ونشأ في ظل الأدب العربي، المنهج الفني الذي يمكننا إلى التوصل إلى منهج متكامل نشأ في بيئة عربية خاصة، فقد فطن علماؤنا الأجلاء في مراحل مبكرة من التأليف إلى قيمة ذلك المنهج، واستخدموه في مؤلفاتهم، وتعاملوا مع الإبداع الأدبي على أساسه.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بدأ هذا المنهج فطريًّا معتمدًا على التأثر الذاتي للمؤلف، ثم قطع شوطًا طويلًا فيما بعد، وتعدى مرحلة الطفولة إلى مرحلة أعمق، وأكثر تحليلًا، وتعليلًا، وتأصيلًا لقواعده بفضل مجموعة من العلماء الأجلاء، كابن سلام الجمحي، وابن قتيبة، والآمدي، والقاضي الجرجاني، وأبي هلال العسكري، وعبد القاهر الجرجاني، وغير هؤلاء من علماء أجلاء ساهموا في وضع الأصول الفنية لهذا المنهج.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ثم جاء العصر الحديث، وحدث التفاعل بين الشرق والغرب، وانتشرت الثقافة الأوربية، وأقبل الدارسون والباحثون على تلك الثقافة، وما أنتجه الغرب في ميدان الدراسات الأدبية من نظريات؛ فتأثروا بها تأثرا واضحًا كما سبق، وحالوا أن يقننوا لأدبنا العربي في ظل تلك النظريات الغربية، وعلى إثر ذلك -نتيجة لهذا وفي ظل هذه البيئة- تقدمت الدراسات الأدبية تقدما ملحوظًا، وبدأ العلماء يؤصلون للقضايا النقدية الكبرى في كتبهم، كقضية الوحدة العضوية، والصدق الفني، والصورة الخيالية، واتجه علماؤنا في العصر الحديث نحو تفسير النص الأدبي، وتحليله تحليلًا أسلوبيًّا يكشف عن طبيعة التراكيب، ويبرز الدلالات الإيحائية وغيرها.</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وظهرت دراسات عدة في هذا المجال، كما تناولوا الصورة الأدبية من شتى جوانبها، فبينوا أركانها، وطريقة بنائها، ودلالتها على شخصية صاحبها، والتلاؤم بين أجزائها،  واستخرجت كوامن أنفس المبدعين، وكشفت لنا عن ملامح البيئة والعصر الذي أبدعت فيه.</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المنهج الفني هو أقرب المناهج إلى طبيعة الفني الأدبي؛  لأنه يتعامل مع العناصر الفنية التي تشكل هذا العمل. إذا أردنا أن نبحث في أي فن من الفنون فلابد أن تكون المقاييس التي يعتمد عليها البحث تمثل عناصر مهمة في ذلك الفن؛ حتى يكون البحث مجديا، وتكون النتائج  تتسم بالمصداقية. فالمنهج الفني يبحث في عناصر فنية  هي الأسس التي يقوم عليها الفن الأدبي، كما أنه يكشف عن الخصائص الفنية والجمالية في العمل الأدبي. ومن ثم، فهو يسهم في تربية الذوق الفني وتكوينه وثقله لدى دراسي الأدب وباحثيه، وهذه قيمة أخرى من قيم المنهج الفني، نتوصل من خلاله إلى منهج متكامل،  نتعرف على الجانب النفسي وعلى الجانب البيئي، وعلى الجانب الجمالي، كما أنه يفيد الباحث من ناحية أخرى في تربية وتنمية ذوقه الفني.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ومع أن هذا المنهج هو أقرب المناهج وأصحها في مجال البحث الأدبي إلا أنه لا يخلو من المآخذ عندما يحيد الباحث عن الطريق المرسوم له، فقد أشرنا إلى أن هذا المنهج يجمع بين الذاتية والموضوعية، فقد يعتمد الباحث على الأصول والقواعد المقررة فحسب، إذا حدث هذا من الباحث، فإنه يحول المنهج الفني إلى مجرد قالب جاف، وهذا يتنافى مع طبيعته؛ لأن القواعد التي يصلح تطبيقها على نص ما قد لا تصلح للتطبيق على نص آخر، فلابد أن يكون الباحث فطنًا يجمع بين </w:t>
      </w:r>
      <w:r w:rsidRPr="00DD0246">
        <w:rPr>
          <w:rFonts w:asciiTheme="majorBidi" w:hAnsiTheme="majorBidi" w:cstheme="majorBidi"/>
          <w:b/>
          <w:bCs/>
          <w:sz w:val="18"/>
          <w:szCs w:val="18"/>
          <w:rtl/>
          <w:lang w:bidi="ar-EG"/>
        </w:rPr>
        <w:lastRenderedPageBreak/>
        <w:t xml:space="preserve">الذاتية والموضوعية  يعني: يكون لذوقه نصيب، ويكون للمقاييس الموضوعية نصيب  لا يهمل التأثر الذاتي، ولا يهمل المقاييس الموضوعية؛ لأن  الاعتماد الذوق الذاتي وحده قد يجره إلى الخطأ أحيانا، يعني: لو أن الباحث اعتمد على تذوقه للأعمال الأدبية، ولم يسترشد، أو يأخذ بالمعايير الموضوعة، فإن ذلك يجعله يدور في فلك ضيق عندما لا يعدو المشاهير من الأدباء؛  لأن ذوقه قد لا يستجيد أعمالا لغير هؤلاء المشاهير، ويتجاهل غيرهم ممن هم أقل شهرة، كما أنه يخشى من سيطرة الهوى على الباحث؛ فيؤثر ذلك في حكمه عندما يعتمد على ذوقه الفني فحسب. صحيح، الاعتماد على الذوق الفني أحيانا يجر الإنسان إلى الوقوع في الهوى.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هذا عرض سريع للمنهج الفني، المنهج الذي يمكننا أو نتمكن من خلاله إلى تحقيق ما يسمى: بالمنهج المتكامل، المنهج الوحيد الذي يمكن أن نصل من خلاله إلى عدة مناهج، كالمنهج التاريخي، والمنهج النفسي، والجمالي. </w:t>
      </w:r>
    </w:p>
    <w:p w:rsidR="00DD0246" w:rsidRPr="00DD0246" w:rsidRDefault="00DD0246" w:rsidP="00DD0246">
      <w:p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كيف نطبق هذا؟ سنقدم لك نموذجين تطبيقيين يوضحان إمكانية تحقيق المنهج المتكامل من خلال منهج فني واضح، وسيتضح لك أننا سنتوصل إلى نتائج تتصل بالمنهج النفسي، أو التاريخي، أو الجمالي، من خلال تعاملي مع النص الإبداعي بمقاييس فنية بحتة.</w:t>
      </w:r>
    </w:p>
    <w:p w:rsidR="00DD0246" w:rsidRPr="00DD0246" w:rsidRDefault="00DD0246" w:rsidP="00DD0246">
      <w:pPr>
        <w:spacing w:after="120" w:line="240" w:lineRule="auto"/>
        <w:jc w:val="lowKashida"/>
        <w:rPr>
          <w:rFonts w:asciiTheme="majorBidi" w:hAnsiTheme="majorBidi" w:cstheme="majorBidi"/>
          <w:b/>
          <w:bCs/>
          <w:sz w:val="18"/>
          <w:szCs w:val="18"/>
          <w:rtl/>
          <w:lang w:bidi="ar-EG"/>
        </w:rPr>
      </w:pPr>
      <w:r w:rsidRPr="00DD0246">
        <w:rPr>
          <w:rFonts w:asciiTheme="majorBidi" w:hAnsiTheme="majorBidi" w:cstheme="majorBidi"/>
          <w:b/>
          <w:bCs/>
          <w:sz w:val="18"/>
          <w:szCs w:val="18"/>
          <w:rtl/>
          <w:lang w:bidi="ar-EG"/>
        </w:rPr>
        <w:t>النموذج الأول: عبارة عن أبيات من لامية كعب بن زهير، وهي اللامية المشهورة بـ"بانت سعاد فقلبي اليوم متبول" يقول كعب في هذه اللامية:</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7"/>
        <w:gridCol w:w="565"/>
        <w:gridCol w:w="2112"/>
      </w:tblGrid>
      <w:tr w:rsidR="00DD0246" w:rsidRPr="00DD0246" w:rsidTr="007935F8">
        <w:trPr>
          <w:trHeight w:hRule="exact" w:val="510"/>
          <w:jc w:val="center"/>
        </w:trPr>
        <w:tc>
          <w:tcPr>
            <w:tcW w:w="2909" w:type="dxa"/>
            <w:shd w:val="clear" w:color="auto" w:fill="auto"/>
            <w:vAlign w:val="center"/>
          </w:tcPr>
          <w:p w:rsidR="00DD0246" w:rsidRPr="00DD0246" w:rsidRDefault="00DD0246" w:rsidP="00DD0246">
            <w:pPr>
              <w:spacing w:after="120"/>
              <w:jc w:val="both"/>
              <w:rPr>
                <w:rFonts w:asciiTheme="majorBidi" w:hAnsiTheme="majorBidi" w:cstheme="majorBidi"/>
                <w:b/>
                <w:bCs/>
                <w:sz w:val="18"/>
                <w:szCs w:val="18"/>
                <w:rtl/>
                <w:lang w:bidi="ar-EG"/>
              </w:rPr>
            </w:pPr>
            <w:r w:rsidRPr="00DD0246">
              <w:rPr>
                <w:rFonts w:asciiTheme="majorBidi" w:hAnsiTheme="majorBidi" w:cstheme="majorBidi"/>
                <w:b/>
                <w:bCs/>
                <w:sz w:val="18"/>
                <w:szCs w:val="18"/>
                <w:rtl/>
                <w:lang w:bidi="ar-EG"/>
              </w:rPr>
              <w:t>أُنبِئتُ أن رَسُولَ اللهِ أَوْعَدنِي</w:t>
            </w:r>
            <w:r w:rsidRPr="00DD0246">
              <w:rPr>
                <w:rFonts w:asciiTheme="majorBidi" w:hAnsiTheme="majorBidi" w:cstheme="majorBidi"/>
                <w:b/>
                <w:bCs/>
                <w:sz w:val="18"/>
                <w:szCs w:val="18"/>
                <w:rtl/>
                <w:lang w:bidi="ar-EG"/>
              </w:rPr>
              <w:br/>
            </w:r>
          </w:p>
        </w:tc>
        <w:tc>
          <w:tcPr>
            <w:tcW w:w="709" w:type="dxa"/>
            <w:shd w:val="clear" w:color="auto" w:fill="auto"/>
            <w:vAlign w:val="center"/>
          </w:tcPr>
          <w:p w:rsidR="00DD0246" w:rsidRPr="00DD0246" w:rsidRDefault="00DD0246" w:rsidP="00DD0246">
            <w:pPr>
              <w:spacing w:after="120"/>
              <w:jc w:val="center"/>
              <w:rPr>
                <w:rFonts w:asciiTheme="majorBidi" w:hAnsiTheme="majorBidi" w:cstheme="majorBidi"/>
                <w:b/>
                <w:bCs/>
                <w:sz w:val="18"/>
                <w:szCs w:val="18"/>
                <w:rtl/>
              </w:rPr>
            </w:pPr>
            <w:r w:rsidRPr="00DD0246">
              <w:rPr>
                <w:rFonts w:asciiTheme="majorBidi" w:hAnsiTheme="majorBidi" w:cstheme="majorBidi"/>
                <w:b/>
                <w:bCs/>
                <w:sz w:val="18"/>
                <w:szCs w:val="18"/>
                <w:rtl/>
              </w:rPr>
              <w:t>*</w:t>
            </w:r>
          </w:p>
        </w:tc>
        <w:tc>
          <w:tcPr>
            <w:tcW w:w="2909" w:type="dxa"/>
            <w:shd w:val="clear" w:color="auto" w:fill="auto"/>
            <w:vAlign w:val="center"/>
          </w:tcPr>
          <w:p w:rsidR="00DD0246" w:rsidRPr="00DD0246" w:rsidRDefault="00DD0246" w:rsidP="00DD0246">
            <w:pPr>
              <w:spacing w:after="120"/>
              <w:jc w:val="both"/>
              <w:rPr>
                <w:rFonts w:asciiTheme="majorBidi" w:hAnsiTheme="majorBidi" w:cstheme="majorBidi"/>
                <w:b/>
                <w:bCs/>
                <w:sz w:val="18"/>
                <w:szCs w:val="18"/>
                <w:rtl/>
                <w:lang w:bidi="ar-EG"/>
              </w:rPr>
            </w:pPr>
            <w:r w:rsidRPr="00DD0246">
              <w:rPr>
                <w:rFonts w:asciiTheme="majorBidi" w:hAnsiTheme="majorBidi" w:cstheme="majorBidi"/>
                <w:b/>
                <w:bCs/>
                <w:sz w:val="18"/>
                <w:szCs w:val="18"/>
                <w:rtl/>
                <w:lang w:bidi="ar-EG"/>
              </w:rPr>
              <w:t>والعفو عند رسولِ الله مأمولُ</w:t>
            </w:r>
            <w:r w:rsidRPr="00DD0246">
              <w:rPr>
                <w:rFonts w:asciiTheme="majorBidi" w:hAnsiTheme="majorBidi" w:cstheme="majorBidi"/>
                <w:b/>
                <w:bCs/>
                <w:sz w:val="18"/>
                <w:szCs w:val="18"/>
                <w:rtl/>
                <w:lang w:bidi="ar-EG"/>
              </w:rPr>
              <w:br/>
            </w:r>
          </w:p>
        </w:tc>
      </w:tr>
      <w:tr w:rsidR="00DD0246" w:rsidRPr="00DD0246" w:rsidTr="007935F8">
        <w:trPr>
          <w:trHeight w:hRule="exact" w:val="510"/>
          <w:jc w:val="center"/>
        </w:trPr>
        <w:tc>
          <w:tcPr>
            <w:tcW w:w="2909" w:type="dxa"/>
            <w:shd w:val="clear" w:color="auto" w:fill="auto"/>
            <w:vAlign w:val="center"/>
          </w:tcPr>
          <w:p w:rsidR="00DD0246" w:rsidRPr="00DD0246" w:rsidRDefault="00DD0246" w:rsidP="00DD0246">
            <w:pPr>
              <w:spacing w:after="120"/>
              <w:jc w:val="both"/>
              <w:rPr>
                <w:rFonts w:asciiTheme="majorBidi" w:hAnsiTheme="majorBidi" w:cstheme="majorBidi"/>
                <w:b/>
                <w:bCs/>
                <w:sz w:val="18"/>
                <w:szCs w:val="18"/>
                <w:rtl/>
                <w:lang w:bidi="ar-EG"/>
              </w:rPr>
            </w:pPr>
            <w:r w:rsidRPr="00DD0246">
              <w:rPr>
                <w:rFonts w:asciiTheme="majorBidi" w:hAnsiTheme="majorBidi" w:cstheme="majorBidi"/>
                <w:b/>
                <w:bCs/>
                <w:sz w:val="18"/>
                <w:szCs w:val="18"/>
                <w:rtl/>
                <w:lang w:bidi="ar-EG"/>
              </w:rPr>
              <w:t>مهلًا هداكَ الذي أعطاكَ نافلةَ ال</w:t>
            </w:r>
            <w:r w:rsidRPr="00DD0246">
              <w:rPr>
                <w:rFonts w:asciiTheme="majorBidi" w:hAnsiTheme="majorBidi" w:cstheme="majorBidi"/>
                <w:b/>
                <w:bCs/>
                <w:sz w:val="18"/>
                <w:szCs w:val="18"/>
                <w:rtl/>
                <w:lang w:bidi="ar-EG"/>
              </w:rPr>
              <w:br/>
            </w:r>
          </w:p>
        </w:tc>
        <w:tc>
          <w:tcPr>
            <w:tcW w:w="709" w:type="dxa"/>
            <w:shd w:val="clear" w:color="auto" w:fill="auto"/>
            <w:vAlign w:val="center"/>
          </w:tcPr>
          <w:p w:rsidR="00DD0246" w:rsidRPr="00DD0246" w:rsidRDefault="00DD0246" w:rsidP="00DD0246">
            <w:pPr>
              <w:spacing w:after="120"/>
              <w:jc w:val="center"/>
              <w:rPr>
                <w:rFonts w:asciiTheme="majorBidi" w:hAnsiTheme="majorBidi" w:cstheme="majorBidi"/>
                <w:b/>
                <w:bCs/>
                <w:sz w:val="18"/>
                <w:szCs w:val="18"/>
                <w:rtl/>
              </w:rPr>
            </w:pPr>
            <w:r w:rsidRPr="00DD0246">
              <w:rPr>
                <w:rFonts w:asciiTheme="majorBidi" w:hAnsiTheme="majorBidi" w:cstheme="majorBidi"/>
                <w:b/>
                <w:bCs/>
                <w:sz w:val="18"/>
                <w:szCs w:val="18"/>
                <w:rtl/>
              </w:rPr>
              <w:t>*</w:t>
            </w:r>
          </w:p>
        </w:tc>
        <w:tc>
          <w:tcPr>
            <w:tcW w:w="2909" w:type="dxa"/>
            <w:shd w:val="clear" w:color="auto" w:fill="auto"/>
            <w:vAlign w:val="center"/>
          </w:tcPr>
          <w:p w:rsidR="00DD0246" w:rsidRPr="00DD0246" w:rsidRDefault="00DD0246" w:rsidP="00DD0246">
            <w:pPr>
              <w:spacing w:after="120"/>
              <w:jc w:val="both"/>
              <w:rPr>
                <w:rFonts w:asciiTheme="majorBidi" w:hAnsiTheme="majorBidi" w:cstheme="majorBidi"/>
                <w:b/>
                <w:bCs/>
                <w:sz w:val="18"/>
                <w:szCs w:val="18"/>
                <w:rtl/>
                <w:lang w:bidi="ar-EG"/>
              </w:rPr>
            </w:pPr>
            <w:r w:rsidRPr="00DD0246">
              <w:rPr>
                <w:rFonts w:asciiTheme="majorBidi" w:hAnsiTheme="majorBidi" w:cstheme="majorBidi"/>
                <w:b/>
                <w:bCs/>
                <w:sz w:val="18"/>
                <w:szCs w:val="18"/>
                <w:rtl/>
                <w:lang w:bidi="ar-EG"/>
              </w:rPr>
              <w:t>قرآنِ فيها مواعِيظ وتفصِيلُ</w:t>
            </w:r>
            <w:r w:rsidRPr="00DD0246">
              <w:rPr>
                <w:rFonts w:asciiTheme="majorBidi" w:hAnsiTheme="majorBidi" w:cstheme="majorBidi"/>
                <w:b/>
                <w:bCs/>
                <w:sz w:val="18"/>
                <w:szCs w:val="18"/>
                <w:rtl/>
                <w:lang w:bidi="ar-EG"/>
              </w:rPr>
              <w:br/>
            </w:r>
          </w:p>
        </w:tc>
      </w:tr>
      <w:tr w:rsidR="00DD0246" w:rsidRPr="00DD0246" w:rsidTr="007935F8">
        <w:trPr>
          <w:trHeight w:hRule="exact" w:val="510"/>
          <w:jc w:val="center"/>
        </w:trPr>
        <w:tc>
          <w:tcPr>
            <w:tcW w:w="2909" w:type="dxa"/>
            <w:shd w:val="clear" w:color="auto" w:fill="auto"/>
            <w:vAlign w:val="center"/>
          </w:tcPr>
          <w:p w:rsidR="00DD0246" w:rsidRPr="00DD0246" w:rsidRDefault="00DD0246" w:rsidP="00DD0246">
            <w:pPr>
              <w:spacing w:after="120"/>
              <w:jc w:val="both"/>
              <w:rPr>
                <w:rFonts w:asciiTheme="majorBidi" w:hAnsiTheme="majorBidi" w:cstheme="majorBidi"/>
                <w:b/>
                <w:bCs/>
                <w:sz w:val="18"/>
                <w:szCs w:val="18"/>
                <w:rtl/>
                <w:lang w:bidi="ar-EG"/>
              </w:rPr>
            </w:pPr>
            <w:r w:rsidRPr="00DD0246">
              <w:rPr>
                <w:rFonts w:asciiTheme="majorBidi" w:hAnsiTheme="majorBidi" w:cstheme="majorBidi"/>
                <w:b/>
                <w:bCs/>
                <w:sz w:val="18"/>
                <w:szCs w:val="18"/>
                <w:rtl/>
                <w:lang w:bidi="ar-EG"/>
              </w:rPr>
              <w:t>لا تأخذنّي بأقوالِ الوشاةِ ولمْ</w:t>
            </w:r>
            <w:r w:rsidRPr="00DD0246">
              <w:rPr>
                <w:rFonts w:asciiTheme="majorBidi" w:hAnsiTheme="majorBidi" w:cstheme="majorBidi"/>
                <w:b/>
                <w:bCs/>
                <w:sz w:val="18"/>
                <w:szCs w:val="18"/>
                <w:rtl/>
                <w:lang w:bidi="ar-EG"/>
              </w:rPr>
              <w:br/>
            </w:r>
          </w:p>
        </w:tc>
        <w:tc>
          <w:tcPr>
            <w:tcW w:w="709" w:type="dxa"/>
            <w:shd w:val="clear" w:color="auto" w:fill="auto"/>
            <w:vAlign w:val="center"/>
          </w:tcPr>
          <w:p w:rsidR="00DD0246" w:rsidRPr="00DD0246" w:rsidRDefault="00DD0246" w:rsidP="00DD0246">
            <w:pPr>
              <w:spacing w:after="120"/>
              <w:jc w:val="center"/>
              <w:rPr>
                <w:rFonts w:asciiTheme="majorBidi" w:hAnsiTheme="majorBidi" w:cstheme="majorBidi"/>
                <w:b/>
                <w:bCs/>
                <w:sz w:val="18"/>
                <w:szCs w:val="18"/>
                <w:rtl/>
              </w:rPr>
            </w:pPr>
            <w:r w:rsidRPr="00DD0246">
              <w:rPr>
                <w:rFonts w:asciiTheme="majorBidi" w:hAnsiTheme="majorBidi" w:cstheme="majorBidi"/>
                <w:b/>
                <w:bCs/>
                <w:sz w:val="18"/>
                <w:szCs w:val="18"/>
                <w:rtl/>
              </w:rPr>
              <w:t>*</w:t>
            </w:r>
          </w:p>
        </w:tc>
        <w:tc>
          <w:tcPr>
            <w:tcW w:w="2909" w:type="dxa"/>
            <w:shd w:val="clear" w:color="auto" w:fill="auto"/>
            <w:vAlign w:val="center"/>
          </w:tcPr>
          <w:p w:rsidR="00DD0246" w:rsidRPr="00DD0246" w:rsidRDefault="00DD0246" w:rsidP="00DD0246">
            <w:pPr>
              <w:spacing w:after="120"/>
              <w:jc w:val="both"/>
              <w:rPr>
                <w:rFonts w:asciiTheme="majorBidi" w:hAnsiTheme="majorBidi" w:cstheme="majorBidi"/>
                <w:b/>
                <w:bCs/>
                <w:sz w:val="18"/>
                <w:szCs w:val="18"/>
                <w:rtl/>
                <w:lang w:bidi="ar-EG"/>
              </w:rPr>
            </w:pPr>
            <w:r w:rsidRPr="00DD0246">
              <w:rPr>
                <w:rFonts w:asciiTheme="majorBidi" w:hAnsiTheme="majorBidi" w:cstheme="majorBidi"/>
                <w:b/>
                <w:bCs/>
                <w:sz w:val="18"/>
                <w:szCs w:val="18"/>
                <w:rtl/>
                <w:lang w:bidi="ar-EG"/>
              </w:rPr>
              <w:t>أذنبْ وإن كثرتْ في الأقاويلُ</w:t>
            </w:r>
            <w:r w:rsidRPr="00DD0246">
              <w:rPr>
                <w:rFonts w:asciiTheme="majorBidi" w:hAnsiTheme="majorBidi" w:cstheme="majorBidi"/>
                <w:b/>
                <w:bCs/>
                <w:sz w:val="18"/>
                <w:szCs w:val="18"/>
                <w:rtl/>
                <w:lang w:bidi="ar-EG"/>
              </w:rPr>
              <w:br/>
            </w:r>
          </w:p>
        </w:tc>
      </w:tr>
      <w:tr w:rsidR="00DD0246" w:rsidRPr="00DD0246" w:rsidTr="007935F8">
        <w:trPr>
          <w:trHeight w:hRule="exact" w:val="510"/>
          <w:jc w:val="center"/>
        </w:trPr>
        <w:tc>
          <w:tcPr>
            <w:tcW w:w="2909" w:type="dxa"/>
            <w:shd w:val="clear" w:color="auto" w:fill="auto"/>
            <w:vAlign w:val="center"/>
          </w:tcPr>
          <w:p w:rsidR="00DD0246" w:rsidRPr="00DD0246" w:rsidRDefault="00DD0246" w:rsidP="00DD0246">
            <w:pPr>
              <w:spacing w:after="120"/>
              <w:jc w:val="both"/>
              <w:rPr>
                <w:rFonts w:asciiTheme="majorBidi" w:hAnsiTheme="majorBidi" w:cstheme="majorBidi"/>
                <w:b/>
                <w:bCs/>
                <w:sz w:val="18"/>
                <w:szCs w:val="18"/>
                <w:rtl/>
                <w:lang w:bidi="ar-EG"/>
              </w:rPr>
            </w:pPr>
            <w:r w:rsidRPr="00DD0246">
              <w:rPr>
                <w:rFonts w:asciiTheme="majorBidi" w:hAnsiTheme="majorBidi" w:cstheme="majorBidi"/>
                <w:b/>
                <w:bCs/>
                <w:sz w:val="18"/>
                <w:szCs w:val="18"/>
                <w:rtl/>
                <w:lang w:bidi="ar-EG"/>
              </w:rPr>
              <w:t>إن الرّسولَ لنور يستضاءُ بهِ</w:t>
            </w:r>
            <w:r w:rsidRPr="00DD0246">
              <w:rPr>
                <w:rFonts w:asciiTheme="majorBidi" w:hAnsiTheme="majorBidi" w:cstheme="majorBidi"/>
                <w:b/>
                <w:bCs/>
                <w:sz w:val="18"/>
                <w:szCs w:val="18"/>
                <w:rtl/>
                <w:lang w:bidi="ar-EG"/>
              </w:rPr>
              <w:br/>
            </w:r>
          </w:p>
        </w:tc>
        <w:tc>
          <w:tcPr>
            <w:tcW w:w="709" w:type="dxa"/>
            <w:shd w:val="clear" w:color="auto" w:fill="auto"/>
            <w:vAlign w:val="center"/>
          </w:tcPr>
          <w:p w:rsidR="00DD0246" w:rsidRPr="00DD0246" w:rsidRDefault="00DD0246" w:rsidP="00DD0246">
            <w:pPr>
              <w:spacing w:after="120"/>
              <w:jc w:val="center"/>
              <w:rPr>
                <w:rFonts w:asciiTheme="majorBidi" w:hAnsiTheme="majorBidi" w:cstheme="majorBidi"/>
                <w:b/>
                <w:bCs/>
                <w:sz w:val="18"/>
                <w:szCs w:val="18"/>
                <w:rtl/>
              </w:rPr>
            </w:pPr>
            <w:r w:rsidRPr="00DD0246">
              <w:rPr>
                <w:rFonts w:asciiTheme="majorBidi" w:hAnsiTheme="majorBidi" w:cstheme="majorBidi"/>
                <w:b/>
                <w:bCs/>
                <w:sz w:val="18"/>
                <w:szCs w:val="18"/>
                <w:rtl/>
              </w:rPr>
              <w:t>*</w:t>
            </w:r>
          </w:p>
        </w:tc>
        <w:tc>
          <w:tcPr>
            <w:tcW w:w="2909" w:type="dxa"/>
            <w:shd w:val="clear" w:color="auto" w:fill="auto"/>
            <w:vAlign w:val="center"/>
          </w:tcPr>
          <w:p w:rsidR="00DD0246" w:rsidRPr="00DD0246" w:rsidRDefault="00DD0246" w:rsidP="00DD0246">
            <w:pPr>
              <w:spacing w:after="120"/>
              <w:jc w:val="both"/>
              <w:rPr>
                <w:rFonts w:asciiTheme="majorBidi" w:hAnsiTheme="majorBidi" w:cstheme="majorBidi"/>
                <w:b/>
                <w:bCs/>
                <w:sz w:val="18"/>
                <w:szCs w:val="18"/>
                <w:rtl/>
                <w:lang w:bidi="ar-EG"/>
              </w:rPr>
            </w:pPr>
            <w:r w:rsidRPr="00DD0246">
              <w:rPr>
                <w:rFonts w:asciiTheme="majorBidi" w:hAnsiTheme="majorBidi" w:cstheme="majorBidi"/>
                <w:b/>
                <w:bCs/>
                <w:sz w:val="18"/>
                <w:szCs w:val="18"/>
                <w:rtl/>
                <w:lang w:bidi="ar-EG"/>
              </w:rPr>
              <w:t>مهندٌ من سيوفِ الله مسلولُ</w:t>
            </w:r>
            <w:r w:rsidRPr="00DD0246">
              <w:rPr>
                <w:rFonts w:asciiTheme="majorBidi" w:hAnsiTheme="majorBidi" w:cstheme="majorBidi"/>
                <w:b/>
                <w:bCs/>
                <w:sz w:val="18"/>
                <w:szCs w:val="18"/>
                <w:rtl/>
                <w:lang w:bidi="ar-EG"/>
              </w:rPr>
              <w:br/>
            </w:r>
          </w:p>
        </w:tc>
      </w:tr>
    </w:tbl>
    <w:p w:rsidR="00DD0246" w:rsidRPr="00DD0246" w:rsidRDefault="00DD0246" w:rsidP="00DD0246">
      <w:pPr>
        <w:pStyle w:val="a3"/>
        <w:bidi/>
        <w:spacing w:before="0" w:beforeAutospacing="0" w:after="120" w:afterAutospacing="0"/>
        <w:jc w:val="lowKashida"/>
        <w:rPr>
          <w:rFonts w:asciiTheme="majorBidi" w:hAnsiTheme="majorBidi" w:cstheme="majorBidi"/>
          <w:b/>
          <w:bCs/>
          <w:sz w:val="18"/>
          <w:szCs w:val="18"/>
          <w:rtl/>
          <w:lang w:bidi="ar-EG"/>
        </w:rPr>
      </w:pPr>
      <w:r w:rsidRPr="00DD0246">
        <w:rPr>
          <w:rFonts w:asciiTheme="majorBidi" w:hAnsiTheme="majorBidi" w:cstheme="majorBidi"/>
          <w:b/>
          <w:bCs/>
          <w:sz w:val="18"/>
          <w:szCs w:val="18"/>
          <w:rtl/>
          <w:lang w:bidi="ar-EG"/>
        </w:rPr>
        <w:t xml:space="preserve">تأمل جيدًا معي هذه الأبيات؛ ترى أنها تدور حول فكرة واحدة، الفكرة هي: اعتذار كعب بن زهير لرسول الله </w:t>
      </w:r>
      <w:r w:rsidRPr="00DD0246">
        <w:rPr>
          <w:rFonts w:asciiTheme="majorBidi" w:hAnsiTheme="majorBidi" w:cstheme="majorBidi"/>
          <w:b/>
          <w:bCs/>
          <w:position w:val="-4"/>
          <w:sz w:val="18"/>
          <w:szCs w:val="18"/>
          <w:lang w:bidi="ar-EG"/>
        </w:rPr>
        <w:t></w:t>
      </w:r>
      <w:r w:rsidRPr="00DD0246">
        <w:rPr>
          <w:rFonts w:asciiTheme="majorBidi" w:hAnsiTheme="majorBidi" w:cstheme="majorBidi"/>
          <w:b/>
          <w:bCs/>
          <w:sz w:val="18"/>
          <w:szCs w:val="18"/>
          <w:rtl/>
          <w:lang w:bidi="ar-EG"/>
        </w:rPr>
        <w:t>  ومدحه له. هذه هي الفكرة الجزئية التي تدور، أو تعبر عنها هذه الأبيات. من خلال تحليل هذه الأبيات تحليلًا فنيًّا بالنظر في صياغتها، والعناصر الفنية المشكلة لها، وإدراك ما وراءها من دلالات متنوعة، من خلال ذلك كله يمكننا التوصل إلى منهج متكامل.</w:t>
      </w:r>
    </w:p>
    <w:p w:rsidR="00DD0246" w:rsidRPr="00DD0246" w:rsidRDefault="00DD0246" w:rsidP="00DD0246">
      <w:pPr>
        <w:spacing w:line="240" w:lineRule="auto"/>
        <w:jc w:val="center"/>
        <w:rPr>
          <w:rFonts w:asciiTheme="majorBidi" w:hAnsiTheme="majorBidi" w:cstheme="majorBidi"/>
          <w:b/>
          <w:bCs/>
          <w:sz w:val="18"/>
          <w:szCs w:val="18"/>
          <w:rtl/>
          <w:lang w:bidi="ar-EG"/>
        </w:rPr>
      </w:pPr>
      <w:r w:rsidRPr="00DD0246">
        <w:rPr>
          <w:rFonts w:asciiTheme="majorBidi" w:hAnsiTheme="majorBidi" w:cstheme="majorBidi"/>
          <w:b/>
          <w:bCs/>
          <w:sz w:val="18"/>
          <w:szCs w:val="18"/>
          <w:rtl/>
          <w:lang w:bidi="ar-EG"/>
        </w:rPr>
        <w:t>المراجع والمصادر</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rPr>
        <w:t>شوقي ضيف، (البحث الأدبيّ: طبيعته. مناهجه. أصوله. مصادره) ،مصر،  دار المعارف، 1972م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DD0246">
        <w:rPr>
          <w:rFonts w:asciiTheme="majorBidi" w:hAnsiTheme="majorBidi" w:cstheme="majorBidi"/>
          <w:b/>
          <w:bCs/>
          <w:sz w:val="18"/>
          <w:szCs w:val="18"/>
          <w:rtl/>
        </w:rPr>
        <w:t>(البحث الأدبيّ: تأصيل ودراسة) ،</w:t>
      </w:r>
      <w:r w:rsidRPr="00DD0246">
        <w:rPr>
          <w:rFonts w:asciiTheme="majorBidi" w:hAnsiTheme="majorBidi" w:cstheme="majorBidi"/>
          <w:b/>
          <w:bCs/>
          <w:sz w:val="18"/>
          <w:szCs w:val="18"/>
          <w:rtl/>
          <w:lang w:bidi="ar-EG"/>
        </w:rPr>
        <w:t>مطبعة الجريسي, 2001م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أحمد محمد الخراط، </w:t>
      </w:r>
      <w:r w:rsidRPr="00DD0246">
        <w:rPr>
          <w:rFonts w:asciiTheme="majorBidi" w:hAnsiTheme="majorBidi" w:cstheme="majorBidi"/>
          <w:b/>
          <w:bCs/>
          <w:sz w:val="18"/>
          <w:szCs w:val="18"/>
          <w:rtl/>
        </w:rPr>
        <w:t>(محاضرات في تحقيق النّصوص) ،</w:t>
      </w:r>
      <w:r w:rsidRPr="00DD0246">
        <w:rPr>
          <w:rFonts w:asciiTheme="majorBidi" w:hAnsiTheme="majorBidi" w:cstheme="majorBidi"/>
          <w:b/>
          <w:bCs/>
          <w:sz w:val="18"/>
          <w:szCs w:val="18"/>
          <w:rtl/>
          <w:lang w:bidi="ar-EG"/>
        </w:rPr>
        <w:t>المدينة المنورة، المنارة للطباعة والنّشر والتّوزيع، 1984م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عزام بن الاصبع السّلمي، تحقيق: عبد السّلام هارون، </w:t>
      </w:r>
      <w:r w:rsidRPr="00DD0246">
        <w:rPr>
          <w:rFonts w:asciiTheme="majorBidi" w:hAnsiTheme="majorBidi" w:cstheme="majorBidi"/>
          <w:b/>
          <w:bCs/>
          <w:sz w:val="18"/>
          <w:szCs w:val="18"/>
          <w:rtl/>
        </w:rPr>
        <w:t>(نوادر المخطوطات) ،</w:t>
      </w:r>
      <w:r w:rsidRPr="00DD0246">
        <w:rPr>
          <w:rFonts w:asciiTheme="majorBidi" w:hAnsiTheme="majorBidi" w:cstheme="majorBidi"/>
          <w:b/>
          <w:bCs/>
          <w:sz w:val="18"/>
          <w:szCs w:val="18"/>
          <w:rtl/>
          <w:lang w:bidi="ar-EG"/>
        </w:rPr>
        <w:t xml:space="preserve"> القاهرة،  مكتبة مصطفى البابيّ الحلبيّ،1973م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لحسن بن عبد الله بن سعيد العسكريّ، تحقيق: عبد العزيز أحمد، </w:t>
      </w:r>
      <w:r w:rsidRPr="00DD0246">
        <w:rPr>
          <w:rFonts w:asciiTheme="majorBidi" w:hAnsiTheme="majorBidi" w:cstheme="majorBidi"/>
          <w:b/>
          <w:bCs/>
          <w:sz w:val="18"/>
          <w:szCs w:val="18"/>
          <w:rtl/>
        </w:rPr>
        <w:t>(شرح ما يقع فيه التّصحيف والتّحريف) ،</w:t>
      </w:r>
      <w:r w:rsidRPr="00DD0246">
        <w:rPr>
          <w:rFonts w:asciiTheme="majorBidi" w:hAnsiTheme="majorBidi" w:cstheme="majorBidi"/>
          <w:b/>
          <w:bCs/>
          <w:sz w:val="18"/>
          <w:szCs w:val="18"/>
          <w:rtl/>
          <w:lang w:bidi="ar-EG"/>
        </w:rPr>
        <w:t>ا ، القاهرة، مطبعة مصطفى البابيّ الحلبيّ، 1963م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محمد عبد المنعم خفاجي، </w:t>
      </w:r>
      <w:r w:rsidRPr="00DD0246">
        <w:rPr>
          <w:rFonts w:asciiTheme="majorBidi" w:hAnsiTheme="majorBidi" w:cstheme="majorBidi"/>
          <w:b/>
          <w:bCs/>
          <w:sz w:val="18"/>
          <w:szCs w:val="18"/>
          <w:rtl/>
        </w:rPr>
        <w:t>(البحوث الأدبيّة) ،</w:t>
      </w:r>
      <w:r w:rsidRPr="00DD0246">
        <w:rPr>
          <w:rFonts w:asciiTheme="majorBidi" w:hAnsiTheme="majorBidi" w:cstheme="majorBidi"/>
          <w:b/>
          <w:bCs/>
          <w:sz w:val="18"/>
          <w:szCs w:val="18"/>
          <w:rtl/>
          <w:lang w:bidi="ar-EG"/>
        </w:rPr>
        <w:t xml:space="preserve"> دار الكتاب اللّبنانيّ، 1987م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كارل بروكلمان، ترجمة: عبد الحليم النّجار، ، </w:t>
      </w:r>
      <w:r w:rsidRPr="00DD0246">
        <w:rPr>
          <w:rFonts w:asciiTheme="majorBidi" w:hAnsiTheme="majorBidi" w:cstheme="majorBidi"/>
          <w:b/>
          <w:bCs/>
          <w:sz w:val="18"/>
          <w:szCs w:val="18"/>
          <w:rtl/>
        </w:rPr>
        <w:t>(تاريخ الأدب العربيّ) ،</w:t>
      </w:r>
      <w:r w:rsidRPr="00DD0246">
        <w:rPr>
          <w:rFonts w:asciiTheme="majorBidi" w:hAnsiTheme="majorBidi" w:cstheme="majorBidi"/>
          <w:b/>
          <w:bCs/>
          <w:sz w:val="18"/>
          <w:szCs w:val="18"/>
          <w:rtl/>
          <w:lang w:bidi="ar-EG"/>
        </w:rPr>
        <w:t xml:space="preserve"> مصر، دار المعارف، 1961م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حسين علي محمد, </w:t>
      </w:r>
      <w:r w:rsidRPr="00DD0246">
        <w:rPr>
          <w:rFonts w:asciiTheme="majorBidi" w:hAnsiTheme="majorBidi" w:cstheme="majorBidi"/>
          <w:b/>
          <w:bCs/>
          <w:sz w:val="18"/>
          <w:szCs w:val="18"/>
          <w:rtl/>
        </w:rPr>
        <w:t>(التّحرير الأدبيّ) ،</w:t>
      </w:r>
      <w:r w:rsidRPr="00DD0246">
        <w:rPr>
          <w:rFonts w:asciiTheme="majorBidi" w:hAnsiTheme="majorBidi" w:cstheme="majorBidi"/>
          <w:b/>
          <w:bCs/>
          <w:sz w:val="18"/>
          <w:szCs w:val="18"/>
          <w:rtl/>
          <w:lang w:bidi="ar-EG"/>
        </w:rPr>
        <w:t xml:space="preserve"> الرياض، مكتبة العبيكان، 1996م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طاهر أحمد مكي، </w:t>
      </w:r>
      <w:r w:rsidRPr="00DD0246">
        <w:rPr>
          <w:rFonts w:asciiTheme="majorBidi" w:hAnsiTheme="majorBidi" w:cstheme="majorBidi"/>
          <w:b/>
          <w:bCs/>
          <w:sz w:val="18"/>
          <w:szCs w:val="18"/>
          <w:rtl/>
        </w:rPr>
        <w:t>(مصادر الأدب) ،</w:t>
      </w:r>
      <w:r w:rsidRPr="00DD0246">
        <w:rPr>
          <w:rFonts w:asciiTheme="majorBidi" w:hAnsiTheme="majorBidi" w:cstheme="majorBidi"/>
          <w:b/>
          <w:bCs/>
          <w:sz w:val="18"/>
          <w:szCs w:val="18"/>
          <w:rtl/>
          <w:lang w:bidi="ar-EG"/>
        </w:rPr>
        <w:t xml:space="preserve"> مصر، دار المعارف، 1977م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عز الدين إسماعيل، </w:t>
      </w:r>
      <w:r w:rsidRPr="00DD0246">
        <w:rPr>
          <w:rFonts w:asciiTheme="majorBidi" w:hAnsiTheme="majorBidi" w:cstheme="majorBidi"/>
          <w:b/>
          <w:bCs/>
          <w:sz w:val="18"/>
          <w:szCs w:val="18"/>
          <w:rtl/>
        </w:rPr>
        <w:t>(المصادر الأدبيّة واللّغويّة في التّراث الأدبيّ) ،</w:t>
      </w:r>
      <w:r w:rsidRPr="00DD0246">
        <w:rPr>
          <w:rFonts w:asciiTheme="majorBidi" w:hAnsiTheme="majorBidi" w:cstheme="majorBidi"/>
          <w:b/>
          <w:bCs/>
          <w:sz w:val="18"/>
          <w:szCs w:val="18"/>
          <w:rtl/>
          <w:lang w:bidi="ar-EG"/>
        </w:rPr>
        <w:t xml:space="preserve"> بيروت، دار النّهضة العربيّة, 1976م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عائشة عبد الرحمن، </w:t>
      </w:r>
      <w:r w:rsidRPr="00DD0246">
        <w:rPr>
          <w:rFonts w:asciiTheme="majorBidi" w:hAnsiTheme="majorBidi" w:cstheme="majorBidi"/>
          <w:b/>
          <w:bCs/>
          <w:sz w:val="18"/>
          <w:szCs w:val="18"/>
          <w:rtl/>
        </w:rPr>
        <w:t>(مقدّمة في المنهج) ،</w:t>
      </w:r>
      <w:r w:rsidRPr="00DD0246">
        <w:rPr>
          <w:rFonts w:asciiTheme="majorBidi" w:hAnsiTheme="majorBidi" w:cstheme="majorBidi"/>
          <w:b/>
          <w:bCs/>
          <w:sz w:val="18"/>
          <w:szCs w:val="18"/>
          <w:rtl/>
          <w:lang w:bidi="ar-EG"/>
        </w:rPr>
        <w:t xml:space="preserve"> طبعة معهد البحوث والدّراسات العربيّة, 1971م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مصطفى الشكعة، </w:t>
      </w:r>
      <w:r w:rsidRPr="00DD0246">
        <w:rPr>
          <w:rFonts w:asciiTheme="majorBidi" w:hAnsiTheme="majorBidi" w:cstheme="majorBidi"/>
          <w:b/>
          <w:bCs/>
          <w:sz w:val="18"/>
          <w:szCs w:val="18"/>
          <w:rtl/>
        </w:rPr>
        <w:t>(مناهج التّأليف عند العلماء العرب) ،</w:t>
      </w:r>
      <w:r w:rsidRPr="00DD0246">
        <w:rPr>
          <w:rFonts w:asciiTheme="majorBidi" w:hAnsiTheme="majorBidi" w:cstheme="majorBidi"/>
          <w:b/>
          <w:bCs/>
          <w:sz w:val="18"/>
          <w:szCs w:val="18"/>
          <w:rtl/>
          <w:lang w:bidi="ar-EG"/>
        </w:rPr>
        <w:t xml:space="preserve"> دار العلم للملايين, 1974م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lastRenderedPageBreak/>
        <w:t xml:space="preserve">أمجد الطرابلسي، </w:t>
      </w:r>
      <w:r w:rsidRPr="00DD0246">
        <w:rPr>
          <w:rFonts w:asciiTheme="majorBidi" w:hAnsiTheme="majorBidi" w:cstheme="majorBidi"/>
          <w:b/>
          <w:bCs/>
          <w:sz w:val="18"/>
          <w:szCs w:val="18"/>
          <w:rtl/>
        </w:rPr>
        <w:t>(نظرة تاريخيّة في حركة التّأليف عند العرب في اللّغة والأدب) ،</w:t>
      </w:r>
      <w:r w:rsidRPr="00DD0246">
        <w:rPr>
          <w:rFonts w:asciiTheme="majorBidi" w:hAnsiTheme="majorBidi" w:cstheme="majorBidi"/>
          <w:b/>
          <w:bCs/>
          <w:sz w:val="18"/>
          <w:szCs w:val="18"/>
          <w:rtl/>
          <w:lang w:bidi="ar-EG"/>
        </w:rPr>
        <w:t xml:space="preserve"> مكتبة الفتح، 1976م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أحمد مختار عمر، </w:t>
      </w:r>
      <w:r w:rsidRPr="00DD0246">
        <w:rPr>
          <w:rFonts w:asciiTheme="majorBidi" w:hAnsiTheme="majorBidi" w:cstheme="majorBidi"/>
          <w:b/>
          <w:bCs/>
          <w:sz w:val="18"/>
          <w:szCs w:val="18"/>
          <w:rtl/>
        </w:rPr>
        <w:t>(أخطاء اللّغة العربيّة المعاصرة) ،</w:t>
      </w:r>
      <w:r w:rsidRPr="00DD0246">
        <w:rPr>
          <w:rFonts w:asciiTheme="majorBidi" w:hAnsiTheme="majorBidi" w:cstheme="majorBidi"/>
          <w:b/>
          <w:bCs/>
          <w:sz w:val="18"/>
          <w:szCs w:val="18"/>
          <w:rtl/>
          <w:lang w:bidi="ar-EG"/>
        </w:rPr>
        <w:t xml:space="preserve"> بيروت، عالم الكتب, 1991م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tl/>
        </w:rPr>
      </w:pPr>
      <w:r w:rsidRPr="00DD0246">
        <w:rPr>
          <w:rFonts w:asciiTheme="majorBidi" w:hAnsiTheme="majorBidi" w:cstheme="majorBidi"/>
          <w:b/>
          <w:bCs/>
          <w:sz w:val="18"/>
          <w:szCs w:val="18"/>
          <w:rtl/>
          <w:lang w:bidi="ar-EG"/>
        </w:rPr>
        <w:t xml:space="preserve">فتحي الخولي،  </w:t>
      </w:r>
      <w:r w:rsidRPr="00DD0246">
        <w:rPr>
          <w:rFonts w:asciiTheme="majorBidi" w:hAnsiTheme="majorBidi" w:cstheme="majorBidi"/>
          <w:b/>
          <w:bCs/>
          <w:sz w:val="18"/>
          <w:szCs w:val="18"/>
          <w:rtl/>
        </w:rPr>
        <w:t>(دليل الإملاء وقواعد الكتابة العربيّة) ،</w:t>
      </w:r>
      <w:r w:rsidRPr="00DD0246">
        <w:rPr>
          <w:rFonts w:asciiTheme="majorBidi" w:hAnsiTheme="majorBidi" w:cstheme="majorBidi"/>
          <w:b/>
          <w:bCs/>
          <w:sz w:val="18"/>
          <w:szCs w:val="18"/>
          <w:rtl/>
          <w:lang w:bidi="ar-EG"/>
        </w:rPr>
        <w:t xml:space="preserve"> القاهرة، مكتبة وهبة، 1973م</w:t>
      </w:r>
    </w:p>
    <w:p w:rsidR="00DD0246" w:rsidRPr="00DD0246" w:rsidRDefault="00DD0246" w:rsidP="00DD0246">
      <w:pPr>
        <w:numPr>
          <w:ilvl w:val="0"/>
          <w:numId w:val="1"/>
        </w:numPr>
        <w:spacing w:after="120" w:line="240" w:lineRule="auto"/>
        <w:jc w:val="lowKashida"/>
        <w:rPr>
          <w:rFonts w:asciiTheme="majorBidi" w:hAnsiTheme="majorBidi" w:cstheme="majorBidi"/>
          <w:b/>
          <w:bCs/>
          <w:sz w:val="18"/>
          <w:szCs w:val="18"/>
        </w:rPr>
      </w:pPr>
      <w:r w:rsidRPr="00DD0246">
        <w:rPr>
          <w:rFonts w:asciiTheme="majorBidi" w:hAnsiTheme="majorBidi" w:cstheme="majorBidi"/>
          <w:b/>
          <w:bCs/>
          <w:sz w:val="18"/>
          <w:szCs w:val="18"/>
          <w:rtl/>
          <w:lang w:bidi="ar-EG"/>
        </w:rPr>
        <w:lastRenderedPageBreak/>
        <w:t xml:space="preserve">محمد مندور، </w:t>
      </w:r>
      <w:r w:rsidRPr="00DD0246">
        <w:rPr>
          <w:rFonts w:asciiTheme="majorBidi" w:hAnsiTheme="majorBidi" w:cstheme="majorBidi"/>
          <w:b/>
          <w:bCs/>
          <w:sz w:val="18"/>
          <w:szCs w:val="18"/>
          <w:rtl/>
        </w:rPr>
        <w:t xml:space="preserve">(في الميزان الجديد) </w:t>
      </w:r>
      <w:r w:rsidRPr="00DD0246">
        <w:rPr>
          <w:rFonts w:asciiTheme="majorBidi" w:hAnsiTheme="majorBidi" w:cstheme="majorBidi"/>
          <w:b/>
          <w:bCs/>
          <w:sz w:val="18"/>
          <w:szCs w:val="18"/>
          <w:rtl/>
          <w:lang w:bidi="ar-EG"/>
        </w:rPr>
        <w:t>، القاهرة، دار  نهضة مصر للطباعة والنّشر, 1944م.</w:t>
      </w:r>
    </w:p>
    <w:p w:rsidR="00DD0246" w:rsidRPr="00DD0246" w:rsidRDefault="00DD0246" w:rsidP="00DD0246">
      <w:pPr>
        <w:pStyle w:val="a3"/>
        <w:bidi/>
        <w:spacing w:before="0" w:beforeAutospacing="0" w:after="120" w:afterAutospacing="0"/>
        <w:jc w:val="lowKashida"/>
        <w:rPr>
          <w:rFonts w:asciiTheme="majorBidi" w:hAnsiTheme="majorBidi" w:cstheme="majorBidi"/>
          <w:b/>
          <w:bCs/>
          <w:sz w:val="18"/>
          <w:szCs w:val="18"/>
          <w:rtl/>
          <w:lang w:bidi="ar-EG"/>
        </w:rPr>
      </w:pPr>
    </w:p>
    <w:p w:rsidR="00DD0246" w:rsidRDefault="00DD0246" w:rsidP="00DD0246">
      <w:pPr>
        <w:spacing w:after="120" w:line="520" w:lineRule="exact"/>
        <w:jc w:val="lowKashida"/>
        <w:rPr>
          <w:rFonts w:asciiTheme="majorBidi" w:hAnsiTheme="majorBidi" w:cstheme="majorBidi"/>
          <w:sz w:val="32"/>
          <w:szCs w:val="32"/>
          <w:rtl/>
        </w:rPr>
        <w:sectPr w:rsidR="00DD0246" w:rsidSect="00DD0246">
          <w:type w:val="continuous"/>
          <w:pgSz w:w="11906" w:h="16838"/>
          <w:pgMar w:top="964" w:right="1021" w:bottom="964" w:left="1021" w:header="709" w:footer="709" w:gutter="0"/>
          <w:cols w:num="2" w:space="708"/>
          <w:bidi/>
          <w:rtlGutter/>
          <w:docGrid w:linePitch="360"/>
        </w:sectPr>
      </w:pPr>
    </w:p>
    <w:p w:rsidR="00DD0246" w:rsidRPr="001D6929" w:rsidRDefault="00DD0246" w:rsidP="00DD0246">
      <w:pPr>
        <w:spacing w:after="120" w:line="520" w:lineRule="exact"/>
        <w:jc w:val="lowKashida"/>
        <w:rPr>
          <w:rFonts w:asciiTheme="majorBidi" w:hAnsiTheme="majorBidi" w:cstheme="majorBidi"/>
          <w:sz w:val="32"/>
          <w:szCs w:val="32"/>
          <w:rtl/>
        </w:rPr>
      </w:pPr>
    </w:p>
    <w:p w:rsidR="00DD0246" w:rsidRDefault="00DD0246" w:rsidP="00DD0246">
      <w:pPr>
        <w:spacing w:after="120" w:line="520" w:lineRule="exact"/>
        <w:jc w:val="lowKashida"/>
        <w:rPr>
          <w:rFonts w:asciiTheme="majorBidi" w:hAnsiTheme="majorBidi" w:cstheme="majorBidi"/>
          <w:sz w:val="32"/>
          <w:szCs w:val="32"/>
          <w:rtl/>
        </w:rPr>
      </w:pPr>
    </w:p>
    <w:p w:rsidR="00DD0246" w:rsidRPr="001D6929" w:rsidRDefault="00DD0246" w:rsidP="00DD0246">
      <w:pPr>
        <w:spacing w:after="120" w:line="520" w:lineRule="exact"/>
        <w:jc w:val="lowKashida"/>
        <w:rPr>
          <w:rFonts w:asciiTheme="majorBidi" w:hAnsiTheme="majorBidi" w:cstheme="majorBidi"/>
          <w:sz w:val="32"/>
          <w:szCs w:val="32"/>
          <w:rtl/>
        </w:rPr>
      </w:pPr>
      <w:r w:rsidRPr="001D6929">
        <w:rPr>
          <w:rFonts w:asciiTheme="majorBidi" w:hAnsiTheme="majorBidi" w:cstheme="majorBidi"/>
          <w:sz w:val="32"/>
          <w:szCs w:val="32"/>
          <w:rtl/>
        </w:rPr>
        <w:t xml:space="preserve"> </w:t>
      </w:r>
    </w:p>
    <w:p w:rsidR="00DD0246" w:rsidRPr="00DD0246" w:rsidRDefault="00DD0246" w:rsidP="00DD0246">
      <w:pPr>
        <w:rPr>
          <w:i/>
          <w:iCs/>
        </w:rPr>
      </w:pPr>
    </w:p>
    <w:sectPr w:rsidR="00DD0246" w:rsidRPr="00DD0246" w:rsidSect="00DD024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A65F6"/>
    <w:multiLevelType w:val="hybridMultilevel"/>
    <w:tmpl w:val="CDAE356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DD0246"/>
    <w:rsid w:val="001231D6"/>
    <w:rsid w:val="004579A3"/>
    <w:rsid w:val="00514443"/>
    <w:rsid w:val="005C4857"/>
    <w:rsid w:val="00804BC4"/>
    <w:rsid w:val="009556CB"/>
    <w:rsid w:val="00BF7572"/>
    <w:rsid w:val="00C46E10"/>
    <w:rsid w:val="00DD02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D0246"/>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DD024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D02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2128</Words>
  <Characters>12131</Characters>
  <Application>Microsoft Office Word</Application>
  <DocSecurity>0</DocSecurity>
  <Lines>101</Lines>
  <Paragraphs>28</Paragraphs>
  <ScaleCrop>false</ScaleCrop>
  <Company/>
  <LinksUpToDate>false</LinksUpToDate>
  <CharactersWithSpaces>14231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2013-06-12T11:52:00Z</dcterms:created>
  <dcterms:modified xsi:type="dcterms:W3CDTF">2013-06-17T11:10:00Z</dcterms:modified>
</cp:coreProperties>
</file>