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332B5" w:rsidP="008332B5">
      <w:pPr>
        <w:spacing w:line="240" w:lineRule="auto"/>
        <w:jc w:val="center"/>
        <w:rPr>
          <w:i/>
          <w:iCs/>
          <w:rtl/>
        </w:rPr>
      </w:pPr>
      <w:r w:rsidRPr="008332B5">
        <w:rPr>
          <w:rFonts w:asciiTheme="majorBidi" w:eastAsia="Calibri" w:hAnsiTheme="majorBidi" w:cstheme="majorBidi"/>
          <w:i/>
          <w:iCs/>
          <w:sz w:val="48"/>
          <w:szCs w:val="48"/>
          <w:rtl/>
        </w:rPr>
        <w:t>ملاحظات لمن يريد استخدام المنهج المتكامل، وبيان قيمته</w:t>
      </w:r>
    </w:p>
    <w:p w:rsidR="008332B5" w:rsidRPr="00B11401" w:rsidRDefault="008332B5" w:rsidP="008332B5">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8332B5" w:rsidRPr="00294A2D" w:rsidRDefault="008332B5" w:rsidP="00355F8D">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355F8D" w:rsidRPr="00355F8D">
        <w:rPr>
          <w:rFonts w:asciiTheme="majorBidi" w:hAnsiTheme="majorBidi" w:cstheme="majorBidi" w:hint="cs"/>
          <w:rtl/>
          <w:lang w:bidi="ar-EG"/>
        </w:rPr>
        <w:t>منة</w:t>
      </w:r>
      <w:r w:rsidR="00355F8D" w:rsidRPr="00355F8D">
        <w:rPr>
          <w:rFonts w:asciiTheme="majorBidi" w:hAnsiTheme="majorBidi" w:cstheme="majorBidi"/>
          <w:rtl/>
          <w:lang w:bidi="ar-EG"/>
        </w:rPr>
        <w:t xml:space="preserve"> </w:t>
      </w:r>
      <w:r w:rsidR="00355F8D" w:rsidRPr="00355F8D">
        <w:rPr>
          <w:rFonts w:asciiTheme="majorBidi" w:hAnsiTheme="majorBidi" w:cstheme="majorBidi" w:hint="cs"/>
          <w:rtl/>
          <w:lang w:bidi="ar-EG"/>
        </w:rPr>
        <w:t>الله</w:t>
      </w:r>
      <w:r w:rsidR="00355F8D" w:rsidRPr="00355F8D">
        <w:rPr>
          <w:rFonts w:asciiTheme="majorBidi" w:hAnsiTheme="majorBidi" w:cstheme="majorBidi"/>
          <w:rtl/>
          <w:lang w:bidi="ar-EG"/>
        </w:rPr>
        <w:t xml:space="preserve"> </w:t>
      </w:r>
      <w:proofErr w:type="spellStart"/>
      <w:r w:rsidR="00355F8D" w:rsidRPr="00355F8D">
        <w:rPr>
          <w:rFonts w:asciiTheme="majorBidi" w:hAnsiTheme="majorBidi" w:cstheme="majorBidi" w:hint="cs"/>
          <w:rtl/>
          <w:lang w:bidi="ar-EG"/>
        </w:rPr>
        <w:t>مجدى</w:t>
      </w:r>
      <w:proofErr w:type="spellEnd"/>
      <w:r w:rsidR="00355F8D" w:rsidRPr="00355F8D">
        <w:rPr>
          <w:rFonts w:asciiTheme="majorBidi" w:hAnsiTheme="majorBidi" w:cstheme="majorBidi"/>
          <w:rtl/>
          <w:lang w:bidi="ar-EG"/>
        </w:rPr>
        <w:t xml:space="preserve"> </w:t>
      </w:r>
      <w:r w:rsidR="00355F8D" w:rsidRPr="00355F8D">
        <w:rPr>
          <w:rFonts w:asciiTheme="majorBidi" w:hAnsiTheme="majorBidi" w:cstheme="majorBidi" w:hint="cs"/>
          <w:rtl/>
          <w:lang w:bidi="ar-EG"/>
        </w:rPr>
        <w:t>محمد</w:t>
      </w:r>
    </w:p>
    <w:p w:rsidR="008332B5" w:rsidRPr="00207A5C" w:rsidRDefault="008332B5" w:rsidP="008332B5">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8332B5" w:rsidRPr="0089766D" w:rsidRDefault="00F90C27" w:rsidP="008332B5">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8332B5" w:rsidRPr="0089766D">
        <w:rPr>
          <w:rFonts w:asciiTheme="majorBidi" w:hAnsiTheme="majorBidi" w:cstheme="majorBidi"/>
          <w:i/>
          <w:iCs/>
          <w:sz w:val="20"/>
          <w:szCs w:val="20"/>
          <w:rtl/>
        </w:rPr>
        <w:t>– جامعة المدينة العالمية</w:t>
      </w:r>
    </w:p>
    <w:p w:rsidR="008332B5" w:rsidRPr="0089766D" w:rsidRDefault="008332B5" w:rsidP="008332B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8332B5" w:rsidRPr="0089766D" w:rsidRDefault="00355F8D" w:rsidP="008332B5">
      <w:pPr>
        <w:spacing w:line="240" w:lineRule="auto"/>
        <w:jc w:val="center"/>
        <w:rPr>
          <w:rFonts w:asciiTheme="majorBidi" w:hAnsiTheme="majorBidi" w:cstheme="majorBidi"/>
          <w:i/>
          <w:iCs/>
          <w:sz w:val="20"/>
          <w:szCs w:val="20"/>
        </w:rPr>
      </w:pPr>
      <w:r w:rsidRPr="00355F8D">
        <w:rPr>
          <w:rFonts w:asciiTheme="majorBidi" w:hAnsiTheme="majorBidi" w:cstheme="majorBidi"/>
          <w:i/>
          <w:iCs/>
          <w:sz w:val="20"/>
          <w:szCs w:val="20"/>
          <w:lang w:bidi="ar-EG"/>
        </w:rPr>
        <w:t>menna.magdy@mediu.ws</w:t>
      </w:r>
    </w:p>
    <w:p w:rsidR="008332B5" w:rsidRDefault="008332B5" w:rsidP="008332B5">
      <w:pPr>
        <w:spacing w:after="120" w:line="240" w:lineRule="auto"/>
        <w:jc w:val="lowKashida"/>
        <w:rPr>
          <w:rFonts w:asciiTheme="majorBidi" w:hAnsiTheme="majorBidi" w:cstheme="majorBidi"/>
          <w:b/>
          <w:bCs/>
          <w:sz w:val="32"/>
          <w:szCs w:val="32"/>
          <w:rtl/>
        </w:rPr>
        <w:sectPr w:rsidR="008332B5" w:rsidSect="00BF7572">
          <w:pgSz w:w="11906" w:h="16838"/>
          <w:pgMar w:top="964" w:right="1021" w:bottom="964" w:left="1021" w:header="709" w:footer="709" w:gutter="0"/>
          <w:cols w:space="708"/>
          <w:bidi/>
          <w:rtlGutter/>
          <w:docGrid w:linePitch="360"/>
        </w:sectPr>
      </w:pPr>
    </w:p>
    <w:p w:rsidR="008332B5" w:rsidRPr="008332B5" w:rsidRDefault="008332B5" w:rsidP="008332B5">
      <w:p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rPr>
        <w:lastRenderedPageBreak/>
        <w:t xml:space="preserve">خلاصة ـــ هذا البحث يبحث في </w:t>
      </w:r>
      <w:r w:rsidRPr="008332B5">
        <w:rPr>
          <w:rFonts w:asciiTheme="majorBidi" w:eastAsia="Calibri" w:hAnsiTheme="majorBidi" w:cstheme="majorBidi"/>
          <w:b/>
          <w:bCs/>
          <w:sz w:val="18"/>
          <w:szCs w:val="18"/>
          <w:rtl/>
        </w:rPr>
        <w:t>ملاحظات لمن يريد استخدام المنهج المتكامل، وبيان قيمته</w:t>
      </w:r>
    </w:p>
    <w:p w:rsidR="008332B5" w:rsidRPr="008332B5" w:rsidRDefault="008332B5" w:rsidP="008332B5">
      <w:pPr>
        <w:spacing w:after="120" w:line="240" w:lineRule="auto"/>
        <w:jc w:val="lowKashida"/>
        <w:rPr>
          <w:rFonts w:asciiTheme="majorBidi" w:hAnsiTheme="majorBidi" w:cstheme="majorBidi"/>
          <w:b/>
          <w:bCs/>
          <w:sz w:val="18"/>
          <w:szCs w:val="18"/>
          <w:rtl/>
          <w:lang w:bidi="ar-EG"/>
        </w:rPr>
      </w:pPr>
      <w:r w:rsidRPr="008332B5">
        <w:rPr>
          <w:rFonts w:asciiTheme="majorBidi" w:hAnsiTheme="majorBidi" w:cstheme="majorBidi"/>
          <w:b/>
          <w:bCs/>
          <w:sz w:val="18"/>
          <w:szCs w:val="18"/>
          <w:rtl/>
        </w:rPr>
        <w:t xml:space="preserve">الكلمات المفتاحية : </w:t>
      </w:r>
      <w:r w:rsidRPr="008332B5">
        <w:rPr>
          <w:rFonts w:asciiTheme="majorBidi" w:hAnsiTheme="majorBidi" w:cstheme="majorBidi"/>
          <w:b/>
          <w:bCs/>
          <w:sz w:val="18"/>
          <w:szCs w:val="18"/>
          <w:rtl/>
          <w:lang w:bidi="ar-EG"/>
        </w:rPr>
        <w:t xml:space="preserve">المنهج التكاملي </w:t>
      </w:r>
      <w:r w:rsidRPr="008332B5">
        <w:rPr>
          <w:rFonts w:asciiTheme="majorBidi" w:hAnsiTheme="majorBidi" w:cstheme="majorBidi"/>
          <w:b/>
          <w:bCs/>
          <w:sz w:val="18"/>
          <w:szCs w:val="18"/>
          <w:rtl/>
        </w:rPr>
        <w:t>،</w:t>
      </w:r>
      <w:r w:rsidRPr="008332B5">
        <w:rPr>
          <w:rFonts w:asciiTheme="majorBidi" w:hAnsiTheme="majorBidi" w:cstheme="majorBidi"/>
          <w:b/>
          <w:bCs/>
          <w:sz w:val="18"/>
          <w:szCs w:val="18"/>
          <w:rtl/>
          <w:lang w:bidi="ar-EG"/>
        </w:rPr>
        <w:t xml:space="preserve"> خطوة</w:t>
      </w:r>
      <w:r w:rsidRPr="008332B5">
        <w:rPr>
          <w:rFonts w:asciiTheme="majorBidi" w:hAnsiTheme="majorBidi" w:cstheme="majorBidi"/>
          <w:b/>
          <w:bCs/>
          <w:sz w:val="18"/>
          <w:szCs w:val="18"/>
          <w:rtl/>
        </w:rPr>
        <w:t xml:space="preserve"> ، </w:t>
      </w:r>
      <w:r w:rsidRPr="008332B5">
        <w:rPr>
          <w:rFonts w:asciiTheme="majorBidi" w:hAnsiTheme="majorBidi" w:cstheme="majorBidi"/>
          <w:b/>
          <w:bCs/>
          <w:sz w:val="18"/>
          <w:szCs w:val="18"/>
          <w:rtl/>
          <w:lang w:bidi="ar-EG"/>
        </w:rPr>
        <w:t>المنهج النفسي</w:t>
      </w:r>
    </w:p>
    <w:p w:rsidR="008332B5" w:rsidRPr="008332B5" w:rsidRDefault="008332B5" w:rsidP="008332B5">
      <w:pPr>
        <w:pStyle w:val="a4"/>
        <w:numPr>
          <w:ilvl w:val="0"/>
          <w:numId w:val="2"/>
        </w:numPr>
        <w:spacing w:after="120" w:line="240" w:lineRule="auto"/>
        <w:jc w:val="center"/>
        <w:rPr>
          <w:rFonts w:asciiTheme="majorBidi" w:hAnsiTheme="majorBidi" w:cstheme="majorBidi"/>
          <w:b/>
          <w:bCs/>
          <w:sz w:val="18"/>
          <w:szCs w:val="18"/>
          <w:rtl/>
        </w:rPr>
      </w:pPr>
      <w:r w:rsidRPr="008332B5">
        <w:rPr>
          <w:rFonts w:asciiTheme="majorBidi" w:hAnsiTheme="majorBidi" w:cstheme="majorBidi"/>
          <w:b/>
          <w:bCs/>
          <w:sz w:val="18"/>
          <w:szCs w:val="18"/>
          <w:rtl/>
        </w:rPr>
        <w:t>المقدمة</w:t>
      </w:r>
    </w:p>
    <w:p w:rsidR="008332B5" w:rsidRPr="008332B5" w:rsidRDefault="008332B5" w:rsidP="008332B5">
      <w:pPr>
        <w:pStyle w:val="a3"/>
        <w:bidi/>
        <w:spacing w:before="0" w:beforeAutospacing="0" w:after="120" w:afterAutospacing="0"/>
        <w:jc w:val="lowKashida"/>
        <w:rPr>
          <w:rFonts w:asciiTheme="majorBidi" w:hAnsiTheme="majorBidi" w:cstheme="majorBidi"/>
          <w:b/>
          <w:bCs/>
          <w:sz w:val="18"/>
          <w:szCs w:val="18"/>
          <w:rtl/>
        </w:rPr>
      </w:pPr>
      <w:r w:rsidRPr="008332B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332B5">
        <w:rPr>
          <w:rFonts w:asciiTheme="majorBidi" w:eastAsia="Calibri" w:hAnsiTheme="majorBidi" w:cstheme="majorBidi"/>
          <w:b/>
          <w:bCs/>
          <w:sz w:val="18"/>
          <w:szCs w:val="18"/>
          <w:rtl/>
        </w:rPr>
        <w:t>ملاحظات لمن يريد استخدام المنهج المتكامل، وبيان قيمته</w:t>
      </w:r>
    </w:p>
    <w:p w:rsidR="008332B5" w:rsidRPr="008332B5" w:rsidRDefault="008332B5" w:rsidP="008332B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332B5">
        <w:rPr>
          <w:rFonts w:asciiTheme="majorBidi" w:hAnsiTheme="majorBidi" w:cstheme="majorBidi"/>
          <w:b/>
          <w:bCs/>
          <w:sz w:val="18"/>
          <w:szCs w:val="18"/>
          <w:rtl/>
        </w:rPr>
        <w:t>عنوان المقال</w:t>
      </w:r>
    </w:p>
    <w:p w:rsidR="008332B5" w:rsidRPr="008332B5" w:rsidRDefault="008332B5" w:rsidP="008332B5">
      <w:p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ينبغي للباحث الأدبي إذا استخدم المنهج التكاملي أو المتكامل أن يستخدمه استخدامًا واعيًا، بحيث نلمسه في كل خطوة من خطواته، هذه ملاحظات مهمة أردنا أن ننبه عليها الباحث الذي يود استخدام المنهج التكاملي ينبغي أن يستخدمه استخدامًا واعيًا بحيث نلمسه في كل خطوة من خطوات بحثه، فلا يوزع المناهج على أبواب بحثه أو فصوله، بحيث نرى المنهج النفسي في فصل، والتاريخي في فصل، والجمالي في فصل ثم يسمي هذا منهجًا متكاملًا، لا أنا ذكرت في البداية المنهج المتكامل: هو منهج تجتمع، تتداخل، تمتزج فيه مجموعة من المناهج، لكن الذي يستخدم منهجًا في فصل، ثم منهجا آخر في فصل ثم منهجت ثالثا في فصل، هذه مناهج متجاورة المنهج المتكامل تتداخل فيه المناهج، وتمتزج.</w:t>
      </w:r>
    </w:p>
    <w:p w:rsidR="008332B5" w:rsidRPr="008332B5" w:rsidRDefault="008332B5" w:rsidP="008332B5">
      <w:pPr>
        <w:spacing w:after="120" w:line="240" w:lineRule="auto"/>
        <w:jc w:val="lowKashida"/>
        <w:rPr>
          <w:rFonts w:asciiTheme="majorBidi" w:hAnsiTheme="majorBidi" w:cstheme="majorBidi"/>
          <w:b/>
          <w:bCs/>
          <w:spacing w:val="4"/>
          <w:sz w:val="18"/>
          <w:szCs w:val="18"/>
          <w:rtl/>
        </w:rPr>
      </w:pPr>
      <w:r w:rsidRPr="008332B5">
        <w:rPr>
          <w:rFonts w:asciiTheme="majorBidi" w:hAnsiTheme="majorBidi" w:cstheme="majorBidi"/>
          <w:b/>
          <w:bCs/>
          <w:spacing w:val="4"/>
          <w:sz w:val="18"/>
          <w:szCs w:val="18"/>
          <w:rtl/>
          <w:lang w:bidi="ar-EG"/>
        </w:rPr>
        <w:t xml:space="preserve">فإذا استخدم المنهج المتكامل بطريقة صحيحة، فإننا نراه في حديثه عن البيئة، وعن الأغراض، وعن الخصائص الفنية، كما نراه في كل قضية من قضايا البحث، ففي حديثه عن البيئة مثلًا: قد يقول باحث كيف  أستخدم منهجًا  فنيًّا في الحديث عن البيئة؟  بإمكاننا ذلك جيدا في حديث الباحث عن البيئة مثلًا يتحدث عنها من الناحية التاريخية، هذا منهج تاريخي،  ثم يوضح الارتباط النفسي بينها وبين الشاعر، ويكشف عن انعكاسات البيئة على فنه مستدلا بنماذج، هذا منهج نفسي وفني في نفس الوقت. وعند الحديث عن الخصائص يكشف لنا عنها من الناحية الفنية أولا، ثم يوضح مدى دلالتها على نفس صاحبها، أو مبدعها، وعلى البيئة كما صنعنا في تحليل النموذجين السابقين. </w:t>
      </w:r>
    </w:p>
    <w:p w:rsidR="008332B5" w:rsidRPr="008332B5" w:rsidRDefault="008332B5" w:rsidP="008332B5">
      <w:p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وهكذا ينبغي أن يكون البحث، لابد أن يتحول عقل الباحث إلى ما يشبه المرآة تعكس أضواء تلك المناهج، كما تعكس فكرة الفردية، والأصالة، والمدرسة الفنية، وأفكار البيئة، والعصر، ورواسب اللاشعور الفردي والجماعي، وعناصر الجمال الفني في التعبير وموسيقاه، كما تعكس انطباعات الباحث الممتعة، وصلة الأديب بالتراث الفني.</w:t>
      </w:r>
    </w:p>
    <w:p w:rsidR="008332B5" w:rsidRPr="008332B5" w:rsidRDefault="008332B5" w:rsidP="008332B5">
      <w:p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وللمنهج المتكامل قيمة عظيمة، ينبغي أن نشير إليها في نهاية حديثنا، فالمنهج المتكامل له قيمة عظيمة، وفائدة كبيرة في مجال البحث الأدبي، تبدو قيمته في أنه يتناول العمل الأدبي من جميع زواياه، ويتناول صاحبه كذلك، يعني: يكشف لنا عن المبدع وعن الإبداع، بجانب تناوله للبيئة والتاريخ، وفي نفس الوقت لا يغفل القيم الفنية الخالصة، ولا يهملها في غمار البحوث التاريخية، أو الدراسات النفسية. </w:t>
      </w:r>
    </w:p>
    <w:p w:rsidR="008332B5" w:rsidRPr="008332B5" w:rsidRDefault="008332B5" w:rsidP="008332B5">
      <w:pPr>
        <w:spacing w:after="120" w:line="240" w:lineRule="auto"/>
        <w:jc w:val="lowKashida"/>
        <w:rPr>
          <w:rFonts w:asciiTheme="majorBidi" w:hAnsiTheme="majorBidi" w:cstheme="majorBidi"/>
          <w:b/>
          <w:bCs/>
          <w:sz w:val="18"/>
          <w:szCs w:val="18"/>
          <w:rtl/>
          <w:lang w:bidi="ar-EG"/>
        </w:rPr>
      </w:pPr>
      <w:r w:rsidRPr="008332B5">
        <w:rPr>
          <w:rFonts w:asciiTheme="majorBidi" w:hAnsiTheme="majorBidi" w:cstheme="majorBidi"/>
          <w:b/>
          <w:bCs/>
          <w:sz w:val="18"/>
          <w:szCs w:val="18"/>
          <w:rtl/>
          <w:lang w:bidi="ar-EG"/>
        </w:rPr>
        <w:t xml:space="preserve">وهذه ميزة لا تحقق في أي من المناهج، كما يجعلنا نعيش في جو الأديب والأدب الخاصين، دون أن ننسى مع هذا أنه أحد مظاهر النشاط النفسي، وأحد مظاهر المجتمع التاريخية. </w:t>
      </w:r>
    </w:p>
    <w:p w:rsidR="008332B5" w:rsidRPr="008332B5" w:rsidRDefault="008332B5" w:rsidP="008332B5">
      <w:pPr>
        <w:spacing w:after="120" w:line="240" w:lineRule="auto"/>
        <w:jc w:val="lowKashida"/>
        <w:rPr>
          <w:rFonts w:asciiTheme="majorBidi" w:hAnsiTheme="majorBidi" w:cstheme="majorBidi"/>
          <w:b/>
          <w:bCs/>
          <w:sz w:val="18"/>
          <w:szCs w:val="18"/>
        </w:rPr>
      </w:pPr>
      <w:r w:rsidRPr="008332B5">
        <w:rPr>
          <w:rFonts w:asciiTheme="majorBidi" w:hAnsiTheme="majorBidi" w:cstheme="majorBidi"/>
          <w:b/>
          <w:bCs/>
          <w:sz w:val="18"/>
          <w:szCs w:val="18"/>
          <w:rtl/>
          <w:lang w:bidi="ar-EG"/>
        </w:rPr>
        <w:t>المنهج المتكامل أيضا يجنب الباحث الوقوع في المآخذ التي تؤخذ على المناهج الأخرى، وقد أشرنا إليها، فهو لا يقيد الباحث أو الأديب ببيئة معينة، أو عصر معين، ولا يتجاهل المواهب الفردية الفذة والعبقريات الذاتية، كما أنه لا يهمل النص -كما رأيت- وإنما يصل إلى تلك النتائج من خلال النص ذاته.</w:t>
      </w:r>
    </w:p>
    <w:p w:rsidR="008332B5" w:rsidRPr="008332B5" w:rsidRDefault="008332B5" w:rsidP="008332B5">
      <w:pPr>
        <w:spacing w:after="120" w:line="240" w:lineRule="auto"/>
        <w:jc w:val="lowKashida"/>
        <w:rPr>
          <w:rFonts w:asciiTheme="majorBidi" w:hAnsiTheme="majorBidi" w:cstheme="majorBidi"/>
          <w:b/>
          <w:bCs/>
          <w:sz w:val="18"/>
          <w:szCs w:val="18"/>
        </w:rPr>
      </w:pPr>
      <w:r w:rsidRPr="008332B5">
        <w:rPr>
          <w:rFonts w:asciiTheme="majorBidi" w:hAnsiTheme="majorBidi" w:cstheme="majorBidi"/>
          <w:b/>
          <w:bCs/>
          <w:sz w:val="18"/>
          <w:szCs w:val="18"/>
          <w:rtl/>
          <w:lang w:bidi="ar-EG"/>
        </w:rPr>
        <w:t xml:space="preserve"> ومما يؤكد قيمة هذا المنهج، وأنه أصح المناهج في مجال البحث الأدبي: أن جميع كتب التراث التي شهد بقيمتها العلماء على مر العصور جاءت على هدي هذا المنهج، واحتلت مكانة خالدة، ولازلنا نتعلم منها إلى الآن. </w:t>
      </w:r>
    </w:p>
    <w:p w:rsidR="008332B5" w:rsidRPr="008332B5" w:rsidRDefault="008332B5" w:rsidP="008332B5">
      <w:pPr>
        <w:spacing w:after="120" w:line="240" w:lineRule="auto"/>
        <w:jc w:val="lowKashida"/>
        <w:rPr>
          <w:rFonts w:asciiTheme="majorBidi" w:hAnsiTheme="majorBidi" w:cstheme="majorBidi"/>
          <w:b/>
          <w:bCs/>
          <w:sz w:val="18"/>
          <w:szCs w:val="18"/>
        </w:rPr>
      </w:pPr>
      <w:r w:rsidRPr="008332B5">
        <w:rPr>
          <w:rFonts w:asciiTheme="majorBidi" w:hAnsiTheme="majorBidi" w:cstheme="majorBidi"/>
          <w:b/>
          <w:bCs/>
          <w:sz w:val="18"/>
          <w:szCs w:val="18"/>
          <w:rtl/>
          <w:lang w:bidi="ar-EG"/>
        </w:rPr>
        <w:lastRenderedPageBreak/>
        <w:t xml:space="preserve">وقد ظهر هذا المنهج في طائفة كثيرة من الدراسات الحديثة -هو منهج مستخدم وعلى نطاق واسع دراسات حديثة كثيرة- رأيناها تقوم على منهج متكامل، بدأت بمناهج فردية سابقة، لكنها لا ترفض الإفادة من غيره من المناهج التي تتكامل بها جوانبها المختلفة، فمثلًا: كتاب (العصر الجاهلي) للدكتور شوقي ضيف، قام هذا الكتاب في أساسه على منهج تاريخي، لكنه استضاء بدارسات النفسيين والاجتماعيين. مثلًا: كتاب (مع المتنبي) للدكتور طه حسين، نرى المنهج التاريخي هو المحور الأساسي الذي تدور حوله الدراسة، لكننا نراه قد أفاد من المنهج الجمالي، والمنهج النفسي. </w:t>
      </w:r>
    </w:p>
    <w:p w:rsidR="008332B5" w:rsidRPr="008332B5" w:rsidRDefault="008332B5" w:rsidP="008332B5">
      <w:pPr>
        <w:spacing w:after="120" w:line="240" w:lineRule="auto"/>
        <w:jc w:val="lowKashida"/>
        <w:rPr>
          <w:rFonts w:asciiTheme="majorBidi" w:hAnsiTheme="majorBidi" w:cstheme="majorBidi"/>
          <w:b/>
          <w:bCs/>
          <w:sz w:val="18"/>
          <w:szCs w:val="18"/>
        </w:rPr>
      </w:pPr>
      <w:r w:rsidRPr="008332B5">
        <w:rPr>
          <w:rFonts w:asciiTheme="majorBidi" w:hAnsiTheme="majorBidi" w:cstheme="majorBidi"/>
          <w:b/>
          <w:bCs/>
          <w:sz w:val="18"/>
          <w:szCs w:val="18"/>
          <w:rtl/>
          <w:lang w:bidi="ar-EG"/>
        </w:rPr>
        <w:t>كتاب مثل: (الشعراء الصعاليك في العصر الجاهلي) للدكتور يوسف خليف</w:t>
      </w:r>
      <w:r w:rsidRPr="008332B5">
        <w:rPr>
          <w:rFonts w:asciiTheme="majorBidi" w:hAnsiTheme="majorBidi" w:cstheme="majorBidi"/>
          <w:b/>
          <w:bCs/>
          <w:sz w:val="18"/>
          <w:szCs w:val="18"/>
          <w:rtl/>
        </w:rPr>
        <w:t xml:space="preserve">، </w:t>
      </w:r>
      <w:r w:rsidRPr="008332B5">
        <w:rPr>
          <w:rFonts w:asciiTheme="majorBidi" w:hAnsiTheme="majorBidi" w:cstheme="majorBidi"/>
          <w:b/>
          <w:bCs/>
          <w:sz w:val="18"/>
          <w:szCs w:val="18"/>
          <w:rtl/>
          <w:lang w:bidi="ar-EG"/>
        </w:rPr>
        <w:t xml:space="preserve">الذي قام على المنهج النفسي والجمالي بجانب المنهج الاجتماعي. وهكذا، توجد عندنا كثير من الدراسات التي قامت على أساس هذا المنهج، كما عند سيد قطب، زكي مبارك، العقاد، محمد مندور. </w:t>
      </w:r>
    </w:p>
    <w:p w:rsidR="008332B5" w:rsidRPr="008332B5" w:rsidRDefault="008332B5" w:rsidP="008332B5">
      <w:pPr>
        <w:pStyle w:val="a3"/>
        <w:bidi/>
        <w:spacing w:before="0" w:beforeAutospacing="0" w:after="120" w:afterAutospacing="0"/>
        <w:jc w:val="lowKashida"/>
        <w:rPr>
          <w:rFonts w:asciiTheme="majorBidi" w:hAnsiTheme="majorBidi" w:cstheme="majorBidi"/>
          <w:b/>
          <w:bCs/>
          <w:sz w:val="18"/>
          <w:szCs w:val="18"/>
          <w:rtl/>
          <w:lang w:bidi="ar-EG"/>
        </w:rPr>
      </w:pPr>
      <w:r w:rsidRPr="008332B5">
        <w:rPr>
          <w:rFonts w:asciiTheme="majorBidi" w:hAnsiTheme="majorBidi" w:cstheme="majorBidi"/>
          <w:b/>
          <w:bCs/>
          <w:sz w:val="18"/>
          <w:szCs w:val="18"/>
          <w:rtl/>
          <w:lang w:bidi="ar-EG"/>
        </w:rPr>
        <w:t>و نرى هذا المنهج المتكامل في كثير من الدراسات الأسلوبية الحديثة التي اتجه فيها أصحابها اتجاهًا معتدلًا، أما التي يجنح فيها أصحابها نحو الغموض والفلسفة الغربية المعقدة، فإنها لا تندرج تحت هذا الصنف الدراسات المقبولة، ولا يخرج القارئ منها بشيء سوى الجهد الذي بذله، لكن أنا قلت: الدراسات الأسلوبية الحديثة التي اتجه أصحابها اتجاهًا معتدلًا.</w:t>
      </w:r>
    </w:p>
    <w:p w:rsidR="008332B5" w:rsidRPr="008332B5" w:rsidRDefault="008332B5" w:rsidP="008332B5">
      <w:pPr>
        <w:spacing w:line="240" w:lineRule="auto"/>
        <w:jc w:val="center"/>
        <w:rPr>
          <w:rFonts w:asciiTheme="majorBidi" w:hAnsiTheme="majorBidi" w:cstheme="majorBidi"/>
          <w:b/>
          <w:bCs/>
          <w:sz w:val="18"/>
          <w:szCs w:val="18"/>
          <w:rtl/>
          <w:lang w:bidi="ar-EG"/>
        </w:rPr>
      </w:pPr>
      <w:r w:rsidRPr="008332B5">
        <w:rPr>
          <w:rFonts w:asciiTheme="majorBidi" w:hAnsiTheme="majorBidi" w:cstheme="majorBidi"/>
          <w:b/>
          <w:bCs/>
          <w:sz w:val="18"/>
          <w:szCs w:val="18"/>
          <w:rtl/>
          <w:lang w:bidi="ar-EG"/>
        </w:rPr>
        <w:t>المراجع والمصادر</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rPr>
        <w:t>شوقي ضيف، (البحث الأدبيّ: طبيعته. مناهجه. أصوله. مصادره) ،مصر،  دار المعارف، 1972م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8332B5">
        <w:rPr>
          <w:rFonts w:asciiTheme="majorBidi" w:hAnsiTheme="majorBidi" w:cstheme="majorBidi"/>
          <w:b/>
          <w:bCs/>
          <w:sz w:val="18"/>
          <w:szCs w:val="18"/>
          <w:rtl/>
        </w:rPr>
        <w:t>(البحث الأدبيّ: تأصيل ودراسة) ،</w:t>
      </w:r>
      <w:r w:rsidRPr="008332B5">
        <w:rPr>
          <w:rFonts w:asciiTheme="majorBidi" w:hAnsiTheme="majorBidi" w:cstheme="majorBidi"/>
          <w:b/>
          <w:bCs/>
          <w:sz w:val="18"/>
          <w:szCs w:val="18"/>
          <w:rtl/>
          <w:lang w:bidi="ar-EG"/>
        </w:rPr>
        <w:t>مطبعة الجريسي, 2001م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أحمد محمد الخراط، </w:t>
      </w:r>
      <w:r w:rsidRPr="008332B5">
        <w:rPr>
          <w:rFonts w:asciiTheme="majorBidi" w:hAnsiTheme="majorBidi" w:cstheme="majorBidi"/>
          <w:b/>
          <w:bCs/>
          <w:sz w:val="18"/>
          <w:szCs w:val="18"/>
          <w:rtl/>
        </w:rPr>
        <w:t>(محاضرات في تحقيق النّصوص) ،</w:t>
      </w:r>
      <w:r w:rsidRPr="008332B5">
        <w:rPr>
          <w:rFonts w:asciiTheme="majorBidi" w:hAnsiTheme="majorBidi" w:cstheme="majorBidi"/>
          <w:b/>
          <w:bCs/>
          <w:sz w:val="18"/>
          <w:szCs w:val="18"/>
          <w:rtl/>
          <w:lang w:bidi="ar-EG"/>
        </w:rPr>
        <w:t>المدينة المنورة، المنارة للطباعة والنّشر والتّوزيع، 1984م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عزام بن الاصبع السّلمي، تحقيق: عبد السّلام هارون، </w:t>
      </w:r>
      <w:r w:rsidRPr="008332B5">
        <w:rPr>
          <w:rFonts w:asciiTheme="majorBidi" w:hAnsiTheme="majorBidi" w:cstheme="majorBidi"/>
          <w:b/>
          <w:bCs/>
          <w:sz w:val="18"/>
          <w:szCs w:val="18"/>
          <w:rtl/>
        </w:rPr>
        <w:t>(نوادر المخطوطات) ،</w:t>
      </w:r>
      <w:r w:rsidRPr="008332B5">
        <w:rPr>
          <w:rFonts w:asciiTheme="majorBidi" w:hAnsiTheme="majorBidi" w:cstheme="majorBidi"/>
          <w:b/>
          <w:bCs/>
          <w:sz w:val="18"/>
          <w:szCs w:val="18"/>
          <w:rtl/>
          <w:lang w:bidi="ar-EG"/>
        </w:rPr>
        <w:t xml:space="preserve"> القاهرة،  مكتبة مصطفى البابيّ الحلبيّ،1973م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لحسن بن عبد الله بن سعيد العسكريّ، تحقيق: عبد العزيز أحمد، </w:t>
      </w:r>
      <w:r w:rsidRPr="008332B5">
        <w:rPr>
          <w:rFonts w:asciiTheme="majorBidi" w:hAnsiTheme="majorBidi" w:cstheme="majorBidi"/>
          <w:b/>
          <w:bCs/>
          <w:sz w:val="18"/>
          <w:szCs w:val="18"/>
          <w:rtl/>
        </w:rPr>
        <w:t>(شرح ما يقع فيه التّصحيف والتّحريف) ،</w:t>
      </w:r>
      <w:r w:rsidRPr="008332B5">
        <w:rPr>
          <w:rFonts w:asciiTheme="majorBidi" w:hAnsiTheme="majorBidi" w:cstheme="majorBidi"/>
          <w:b/>
          <w:bCs/>
          <w:sz w:val="18"/>
          <w:szCs w:val="18"/>
          <w:rtl/>
          <w:lang w:bidi="ar-EG"/>
        </w:rPr>
        <w:t>ا ، القاهرة، مطبعة مصطفى البابيّ الحلبيّ، 1963م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محمد عبد المنعم خفاجي، </w:t>
      </w:r>
      <w:r w:rsidRPr="008332B5">
        <w:rPr>
          <w:rFonts w:asciiTheme="majorBidi" w:hAnsiTheme="majorBidi" w:cstheme="majorBidi"/>
          <w:b/>
          <w:bCs/>
          <w:sz w:val="18"/>
          <w:szCs w:val="18"/>
          <w:rtl/>
        </w:rPr>
        <w:t>(البحوث الأدبيّة) ،</w:t>
      </w:r>
      <w:r w:rsidRPr="008332B5">
        <w:rPr>
          <w:rFonts w:asciiTheme="majorBidi" w:hAnsiTheme="majorBidi" w:cstheme="majorBidi"/>
          <w:b/>
          <w:bCs/>
          <w:sz w:val="18"/>
          <w:szCs w:val="18"/>
          <w:rtl/>
          <w:lang w:bidi="ar-EG"/>
        </w:rPr>
        <w:t xml:space="preserve"> دار الكتاب اللّبنانيّ، 1987م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كارل بروكلمان، ترجمة: عبد الحليم النّجار، ، </w:t>
      </w:r>
      <w:r w:rsidRPr="008332B5">
        <w:rPr>
          <w:rFonts w:asciiTheme="majorBidi" w:hAnsiTheme="majorBidi" w:cstheme="majorBidi"/>
          <w:b/>
          <w:bCs/>
          <w:sz w:val="18"/>
          <w:szCs w:val="18"/>
          <w:rtl/>
        </w:rPr>
        <w:t>(تاريخ الأدب العربيّ) ،</w:t>
      </w:r>
      <w:r w:rsidRPr="008332B5">
        <w:rPr>
          <w:rFonts w:asciiTheme="majorBidi" w:hAnsiTheme="majorBidi" w:cstheme="majorBidi"/>
          <w:b/>
          <w:bCs/>
          <w:sz w:val="18"/>
          <w:szCs w:val="18"/>
          <w:rtl/>
          <w:lang w:bidi="ar-EG"/>
        </w:rPr>
        <w:t xml:space="preserve"> مصر، دار المعارف، 1961م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حسين علي محمد, </w:t>
      </w:r>
      <w:r w:rsidRPr="008332B5">
        <w:rPr>
          <w:rFonts w:asciiTheme="majorBidi" w:hAnsiTheme="majorBidi" w:cstheme="majorBidi"/>
          <w:b/>
          <w:bCs/>
          <w:sz w:val="18"/>
          <w:szCs w:val="18"/>
          <w:rtl/>
        </w:rPr>
        <w:t>(التّحرير الأدبيّ) ،</w:t>
      </w:r>
      <w:r w:rsidRPr="008332B5">
        <w:rPr>
          <w:rFonts w:asciiTheme="majorBidi" w:hAnsiTheme="majorBidi" w:cstheme="majorBidi"/>
          <w:b/>
          <w:bCs/>
          <w:sz w:val="18"/>
          <w:szCs w:val="18"/>
          <w:rtl/>
          <w:lang w:bidi="ar-EG"/>
        </w:rPr>
        <w:t xml:space="preserve"> الرياض، مكتبة العبيكان، 1996م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طاهر أحمد مكي، </w:t>
      </w:r>
      <w:r w:rsidRPr="008332B5">
        <w:rPr>
          <w:rFonts w:asciiTheme="majorBidi" w:hAnsiTheme="majorBidi" w:cstheme="majorBidi"/>
          <w:b/>
          <w:bCs/>
          <w:sz w:val="18"/>
          <w:szCs w:val="18"/>
          <w:rtl/>
        </w:rPr>
        <w:t>(مصادر الأدب) ،</w:t>
      </w:r>
      <w:r w:rsidRPr="008332B5">
        <w:rPr>
          <w:rFonts w:asciiTheme="majorBidi" w:hAnsiTheme="majorBidi" w:cstheme="majorBidi"/>
          <w:b/>
          <w:bCs/>
          <w:sz w:val="18"/>
          <w:szCs w:val="18"/>
          <w:rtl/>
          <w:lang w:bidi="ar-EG"/>
        </w:rPr>
        <w:t xml:space="preserve"> مصر، دار المعارف، 1977م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عز الدين إسماعيل، </w:t>
      </w:r>
      <w:r w:rsidRPr="008332B5">
        <w:rPr>
          <w:rFonts w:asciiTheme="majorBidi" w:hAnsiTheme="majorBidi" w:cstheme="majorBidi"/>
          <w:b/>
          <w:bCs/>
          <w:sz w:val="18"/>
          <w:szCs w:val="18"/>
          <w:rtl/>
        </w:rPr>
        <w:t>(المصادر الأدبيّة واللّغويّة في التّراث الأدبيّ) ،</w:t>
      </w:r>
      <w:r w:rsidRPr="008332B5">
        <w:rPr>
          <w:rFonts w:asciiTheme="majorBidi" w:hAnsiTheme="majorBidi" w:cstheme="majorBidi"/>
          <w:b/>
          <w:bCs/>
          <w:sz w:val="18"/>
          <w:szCs w:val="18"/>
          <w:rtl/>
          <w:lang w:bidi="ar-EG"/>
        </w:rPr>
        <w:t xml:space="preserve"> بيروت، دار النّهضة العربيّة, 1976م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عائشة عبد الرحمن، </w:t>
      </w:r>
      <w:r w:rsidRPr="008332B5">
        <w:rPr>
          <w:rFonts w:asciiTheme="majorBidi" w:hAnsiTheme="majorBidi" w:cstheme="majorBidi"/>
          <w:b/>
          <w:bCs/>
          <w:sz w:val="18"/>
          <w:szCs w:val="18"/>
          <w:rtl/>
        </w:rPr>
        <w:t>(مقدّمة في المنهج) ،</w:t>
      </w:r>
      <w:r w:rsidRPr="008332B5">
        <w:rPr>
          <w:rFonts w:asciiTheme="majorBidi" w:hAnsiTheme="majorBidi" w:cstheme="majorBidi"/>
          <w:b/>
          <w:bCs/>
          <w:sz w:val="18"/>
          <w:szCs w:val="18"/>
          <w:rtl/>
          <w:lang w:bidi="ar-EG"/>
        </w:rPr>
        <w:t xml:space="preserve"> طبعة معهد البحوث والدّراسات العربيّة, 1971م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مصطفى الشكعة، </w:t>
      </w:r>
      <w:r w:rsidRPr="008332B5">
        <w:rPr>
          <w:rFonts w:asciiTheme="majorBidi" w:hAnsiTheme="majorBidi" w:cstheme="majorBidi"/>
          <w:b/>
          <w:bCs/>
          <w:sz w:val="18"/>
          <w:szCs w:val="18"/>
          <w:rtl/>
        </w:rPr>
        <w:t>(مناهج التّأليف عند العلماء العرب) ،</w:t>
      </w:r>
      <w:r w:rsidRPr="008332B5">
        <w:rPr>
          <w:rFonts w:asciiTheme="majorBidi" w:hAnsiTheme="majorBidi" w:cstheme="majorBidi"/>
          <w:b/>
          <w:bCs/>
          <w:sz w:val="18"/>
          <w:szCs w:val="18"/>
          <w:rtl/>
          <w:lang w:bidi="ar-EG"/>
        </w:rPr>
        <w:t xml:space="preserve"> دار العلم للملايين, 1974م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lastRenderedPageBreak/>
        <w:t xml:space="preserve">أمجد الطرابلسي، </w:t>
      </w:r>
      <w:r w:rsidRPr="008332B5">
        <w:rPr>
          <w:rFonts w:asciiTheme="majorBidi" w:hAnsiTheme="majorBidi" w:cstheme="majorBidi"/>
          <w:b/>
          <w:bCs/>
          <w:sz w:val="18"/>
          <w:szCs w:val="18"/>
          <w:rtl/>
        </w:rPr>
        <w:t>(نظرة تاريخيّة في حركة التّأليف عند العرب في اللّغة والأدب) ،</w:t>
      </w:r>
      <w:r w:rsidRPr="008332B5">
        <w:rPr>
          <w:rFonts w:asciiTheme="majorBidi" w:hAnsiTheme="majorBidi" w:cstheme="majorBidi"/>
          <w:b/>
          <w:bCs/>
          <w:sz w:val="18"/>
          <w:szCs w:val="18"/>
          <w:rtl/>
          <w:lang w:bidi="ar-EG"/>
        </w:rPr>
        <w:t xml:space="preserve"> مكتبة الفتح، 1976م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t xml:space="preserve">أحمد مختار عمر، </w:t>
      </w:r>
      <w:r w:rsidRPr="008332B5">
        <w:rPr>
          <w:rFonts w:asciiTheme="majorBidi" w:hAnsiTheme="majorBidi" w:cstheme="majorBidi"/>
          <w:b/>
          <w:bCs/>
          <w:sz w:val="18"/>
          <w:szCs w:val="18"/>
          <w:rtl/>
        </w:rPr>
        <w:t>(أخطاء اللّغة العربيّة المعاصرة) ،</w:t>
      </w:r>
      <w:r w:rsidRPr="008332B5">
        <w:rPr>
          <w:rFonts w:asciiTheme="majorBidi" w:hAnsiTheme="majorBidi" w:cstheme="majorBidi"/>
          <w:b/>
          <w:bCs/>
          <w:sz w:val="18"/>
          <w:szCs w:val="18"/>
          <w:rtl/>
          <w:lang w:bidi="ar-EG"/>
        </w:rPr>
        <w:t xml:space="preserve"> بيروت، عالم الكتب, 1991م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tl/>
        </w:rPr>
      </w:pPr>
      <w:r w:rsidRPr="008332B5">
        <w:rPr>
          <w:rFonts w:asciiTheme="majorBidi" w:hAnsiTheme="majorBidi" w:cstheme="majorBidi"/>
          <w:b/>
          <w:bCs/>
          <w:sz w:val="18"/>
          <w:szCs w:val="18"/>
          <w:rtl/>
          <w:lang w:bidi="ar-EG"/>
        </w:rPr>
        <w:lastRenderedPageBreak/>
        <w:t xml:space="preserve">فتحي الخولي،  </w:t>
      </w:r>
      <w:r w:rsidRPr="008332B5">
        <w:rPr>
          <w:rFonts w:asciiTheme="majorBidi" w:hAnsiTheme="majorBidi" w:cstheme="majorBidi"/>
          <w:b/>
          <w:bCs/>
          <w:sz w:val="18"/>
          <w:szCs w:val="18"/>
          <w:rtl/>
        </w:rPr>
        <w:t>(دليل الإملاء وقواعد الكتابة العربيّة) ،</w:t>
      </w:r>
      <w:r w:rsidRPr="008332B5">
        <w:rPr>
          <w:rFonts w:asciiTheme="majorBidi" w:hAnsiTheme="majorBidi" w:cstheme="majorBidi"/>
          <w:b/>
          <w:bCs/>
          <w:sz w:val="18"/>
          <w:szCs w:val="18"/>
          <w:rtl/>
          <w:lang w:bidi="ar-EG"/>
        </w:rPr>
        <w:t xml:space="preserve"> القاهرة، مكتبة وهبة، 1973م</w:t>
      </w:r>
    </w:p>
    <w:p w:rsidR="008332B5" w:rsidRPr="008332B5" w:rsidRDefault="008332B5" w:rsidP="008332B5">
      <w:pPr>
        <w:numPr>
          <w:ilvl w:val="0"/>
          <w:numId w:val="1"/>
        </w:numPr>
        <w:spacing w:after="120" w:line="240" w:lineRule="auto"/>
        <w:jc w:val="lowKashida"/>
        <w:rPr>
          <w:rFonts w:asciiTheme="majorBidi" w:hAnsiTheme="majorBidi" w:cstheme="majorBidi"/>
          <w:b/>
          <w:bCs/>
          <w:sz w:val="18"/>
          <w:szCs w:val="18"/>
        </w:rPr>
      </w:pPr>
      <w:r w:rsidRPr="008332B5">
        <w:rPr>
          <w:rFonts w:asciiTheme="majorBidi" w:hAnsiTheme="majorBidi" w:cstheme="majorBidi"/>
          <w:b/>
          <w:bCs/>
          <w:sz w:val="18"/>
          <w:szCs w:val="18"/>
          <w:rtl/>
          <w:lang w:bidi="ar-EG"/>
        </w:rPr>
        <w:t xml:space="preserve">محمد مندور، </w:t>
      </w:r>
      <w:r w:rsidRPr="008332B5">
        <w:rPr>
          <w:rFonts w:asciiTheme="majorBidi" w:hAnsiTheme="majorBidi" w:cstheme="majorBidi"/>
          <w:b/>
          <w:bCs/>
          <w:sz w:val="18"/>
          <w:szCs w:val="18"/>
          <w:rtl/>
        </w:rPr>
        <w:t xml:space="preserve">(في الميزان الجديد) </w:t>
      </w:r>
      <w:r w:rsidRPr="008332B5">
        <w:rPr>
          <w:rFonts w:asciiTheme="majorBidi" w:hAnsiTheme="majorBidi" w:cstheme="majorBidi"/>
          <w:b/>
          <w:bCs/>
          <w:sz w:val="18"/>
          <w:szCs w:val="18"/>
          <w:rtl/>
          <w:lang w:bidi="ar-EG"/>
        </w:rPr>
        <w:t>، القاهرة، دار  نهضة مصر للطباعة والنّشر, 1944م.</w:t>
      </w:r>
    </w:p>
    <w:p w:rsidR="008332B5" w:rsidRDefault="008332B5" w:rsidP="008332B5">
      <w:pPr>
        <w:pStyle w:val="a3"/>
        <w:bidi/>
        <w:spacing w:before="0" w:beforeAutospacing="0" w:after="120" w:afterAutospacing="0" w:line="500" w:lineRule="exact"/>
        <w:jc w:val="lowKashida"/>
        <w:rPr>
          <w:rFonts w:asciiTheme="majorBidi" w:hAnsiTheme="majorBidi" w:cstheme="majorBidi"/>
          <w:sz w:val="32"/>
          <w:szCs w:val="32"/>
          <w:rtl/>
          <w:lang w:bidi="ar-EG"/>
        </w:rPr>
        <w:sectPr w:rsidR="008332B5" w:rsidSect="008332B5">
          <w:type w:val="continuous"/>
          <w:pgSz w:w="11906" w:h="16838"/>
          <w:pgMar w:top="964" w:right="1021" w:bottom="964" w:left="1021" w:header="709" w:footer="709" w:gutter="0"/>
          <w:cols w:num="2" w:space="708"/>
          <w:bidi/>
          <w:rtlGutter/>
          <w:docGrid w:linePitch="360"/>
        </w:sectPr>
      </w:pPr>
    </w:p>
    <w:p w:rsidR="008332B5" w:rsidRPr="008332B5" w:rsidRDefault="008332B5" w:rsidP="008332B5">
      <w:pPr>
        <w:pStyle w:val="a3"/>
        <w:bidi/>
        <w:spacing w:before="0" w:beforeAutospacing="0" w:after="120" w:afterAutospacing="0" w:line="500" w:lineRule="exact"/>
        <w:jc w:val="lowKashida"/>
        <w:rPr>
          <w:rFonts w:asciiTheme="majorBidi" w:hAnsiTheme="majorBidi" w:cstheme="majorBidi"/>
          <w:sz w:val="32"/>
          <w:szCs w:val="32"/>
          <w:rtl/>
          <w:lang w:bidi="ar-EG"/>
        </w:rPr>
      </w:pPr>
    </w:p>
    <w:p w:rsidR="008332B5" w:rsidRPr="001D6929" w:rsidRDefault="008332B5" w:rsidP="008332B5">
      <w:pPr>
        <w:spacing w:after="120" w:line="520" w:lineRule="exact"/>
        <w:jc w:val="lowKashida"/>
        <w:rPr>
          <w:rFonts w:asciiTheme="majorBidi" w:hAnsiTheme="majorBidi" w:cstheme="majorBidi"/>
          <w:sz w:val="32"/>
          <w:szCs w:val="32"/>
          <w:rtl/>
        </w:rPr>
      </w:pPr>
    </w:p>
    <w:p w:rsidR="008332B5" w:rsidRPr="001D6929" w:rsidRDefault="008332B5" w:rsidP="008332B5">
      <w:pPr>
        <w:spacing w:after="120" w:line="520" w:lineRule="exact"/>
        <w:jc w:val="lowKashida"/>
        <w:rPr>
          <w:rFonts w:asciiTheme="majorBidi" w:hAnsiTheme="majorBidi" w:cstheme="majorBidi"/>
          <w:sz w:val="32"/>
          <w:szCs w:val="32"/>
          <w:rtl/>
        </w:rPr>
      </w:pPr>
    </w:p>
    <w:p w:rsidR="008332B5" w:rsidRPr="008332B5" w:rsidRDefault="008332B5" w:rsidP="008332B5">
      <w:pPr>
        <w:spacing w:line="240" w:lineRule="auto"/>
        <w:rPr>
          <w:i/>
          <w:iCs/>
        </w:rPr>
      </w:pPr>
    </w:p>
    <w:sectPr w:rsidR="008332B5" w:rsidRPr="008332B5" w:rsidSect="008332B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068D4"/>
    <w:multiLevelType w:val="hybridMultilevel"/>
    <w:tmpl w:val="920C63F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332B5"/>
    <w:rsid w:val="00355F8D"/>
    <w:rsid w:val="004579A3"/>
    <w:rsid w:val="00514443"/>
    <w:rsid w:val="008332B5"/>
    <w:rsid w:val="0086232C"/>
    <w:rsid w:val="009556CB"/>
    <w:rsid w:val="009E44D5"/>
    <w:rsid w:val="00BF7572"/>
    <w:rsid w:val="00F90C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32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33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2013-06-12T12:15:00Z</dcterms:created>
  <dcterms:modified xsi:type="dcterms:W3CDTF">2013-06-17T11:40:00Z</dcterms:modified>
</cp:coreProperties>
</file>