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DD" w:rsidRDefault="00970BDD" w:rsidP="00970BDD">
      <w:pPr>
        <w:pStyle w:val="a5"/>
        <w:jc w:val="center"/>
        <w:rPr>
          <w:rFonts w:eastAsia="SimSun"/>
          <w:sz w:val="48"/>
          <w:szCs w:val="48"/>
          <w:rtl/>
          <w:lang w:eastAsia="en-US"/>
        </w:rPr>
      </w:pPr>
      <w:r w:rsidRPr="00970BDD">
        <w:rPr>
          <w:rFonts w:eastAsia="SimSun" w:hint="cs"/>
          <w:sz w:val="48"/>
          <w:szCs w:val="48"/>
          <w:rtl/>
          <w:lang w:eastAsia="en-US"/>
        </w:rPr>
        <w:t xml:space="preserve">الاتبـاع في اللهجات العربية </w:t>
      </w:r>
    </w:p>
    <w:p w:rsidR="00970BDD" w:rsidRDefault="00970BDD" w:rsidP="00970BDD">
      <w:pPr>
        <w:pStyle w:val="a5"/>
        <w:jc w:val="center"/>
        <w:rPr>
          <w:rFonts w:ascii="Arial" w:hAnsi="Arial" w:cs="Arial"/>
          <w:b/>
          <w:bCs/>
          <w:rtl/>
        </w:rPr>
      </w:pPr>
      <w:r w:rsidRPr="00970BDD">
        <w:rPr>
          <w:rFonts w:eastAsia="SimSun" w:hint="cs"/>
          <w:sz w:val="40"/>
          <w:szCs w:val="40"/>
          <w:rtl/>
          <w:lang w:eastAsia="en-US"/>
        </w:rPr>
        <w:t>من خلال معجم المصباح المنير</w:t>
      </w:r>
    </w:p>
    <w:p w:rsidR="00970BDD" w:rsidRPr="00970BDD" w:rsidRDefault="00970BDD" w:rsidP="00970BDD">
      <w:pPr>
        <w:pStyle w:val="a5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بحث في أصول اللغة</w:t>
      </w:r>
    </w:p>
    <w:p w:rsidR="00970BDD" w:rsidRPr="00A71E2F" w:rsidRDefault="00970BDD" w:rsidP="00970BDD">
      <w:pPr>
        <w:pStyle w:val="Affiliation"/>
        <w:bidi/>
        <w:rPr>
          <w:i/>
          <w:iCs/>
          <w:rtl/>
        </w:rPr>
      </w:pPr>
      <w:r w:rsidRPr="00A71E2F">
        <w:rPr>
          <w:rFonts w:hint="cs"/>
          <w:i/>
          <w:iCs/>
          <w:rtl/>
        </w:rPr>
        <w:t>د. السيد عبد الحليم</w:t>
      </w:r>
    </w:p>
    <w:p w:rsidR="00970BDD" w:rsidRPr="00A71E2F" w:rsidRDefault="00970BDD" w:rsidP="00970BDD">
      <w:pPr>
        <w:pStyle w:val="Affiliation"/>
        <w:bidi/>
        <w:rPr>
          <w:i/>
          <w:iCs/>
          <w:rtl/>
        </w:rPr>
      </w:pPr>
      <w:r w:rsidRPr="00A71E2F">
        <w:rPr>
          <w:rFonts w:hint="cs"/>
          <w:i/>
          <w:iCs/>
          <w:rtl/>
        </w:rPr>
        <w:t xml:space="preserve"> قسم اللغة العربية </w:t>
      </w:r>
    </w:p>
    <w:p w:rsidR="00970BDD" w:rsidRDefault="00970BDD" w:rsidP="00970BDD">
      <w:pPr>
        <w:pStyle w:val="Affiliation"/>
        <w:bidi/>
        <w:rPr>
          <w:i/>
          <w:iCs/>
          <w:rtl/>
        </w:rPr>
      </w:pPr>
      <w:r w:rsidRPr="00A71E2F">
        <w:rPr>
          <w:rFonts w:hint="cs"/>
          <w:i/>
          <w:iCs/>
          <w:rtl/>
        </w:rPr>
        <w:t>. كلية اللغات . جامعة المدينة العالمية</w:t>
      </w:r>
    </w:p>
    <w:p w:rsidR="00970BDD" w:rsidRPr="00A71E2F" w:rsidRDefault="00970BDD" w:rsidP="00970BDD">
      <w:pPr>
        <w:pStyle w:val="Affiliation"/>
        <w:bidi/>
        <w:rPr>
          <w:i/>
          <w:iCs/>
          <w:rtl/>
        </w:rPr>
      </w:pPr>
      <w:r>
        <w:rPr>
          <w:rFonts w:hint="cs"/>
          <w:i/>
          <w:iCs/>
          <w:rtl/>
        </w:rPr>
        <w:t xml:space="preserve">شاه علم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ماليزيا </w:t>
      </w:r>
    </w:p>
    <w:p w:rsidR="00970BDD" w:rsidRPr="00A71E2F" w:rsidRDefault="00885A23" w:rsidP="00970BDD">
      <w:pPr>
        <w:pStyle w:val="Affiliation"/>
        <w:bidi/>
        <w:rPr>
          <w:i/>
          <w:iCs/>
          <w:sz w:val="22"/>
          <w:szCs w:val="22"/>
          <w:rtl/>
          <w:lang w:eastAsia="en-US"/>
        </w:rPr>
      </w:pPr>
      <w:hyperlink r:id="rId7" w:history="1">
        <w:r w:rsidR="00970BDD" w:rsidRPr="00A71E2F">
          <w:rPr>
            <w:i/>
            <w:iCs/>
          </w:rPr>
          <w:t>elsayed.abdelhalim@mediu.ws</w:t>
        </w:r>
      </w:hyperlink>
    </w:p>
    <w:p w:rsidR="00970BDD" w:rsidRDefault="00970BDD" w:rsidP="00970BDD">
      <w:pPr>
        <w:pStyle w:val="a5"/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B5766C" w:rsidRDefault="00B5766C" w:rsidP="00B5766C">
      <w:pPr>
        <w:pStyle w:val="8"/>
        <w:bidi/>
        <w:spacing w:line="360" w:lineRule="auto"/>
        <w:jc w:val="both"/>
        <w:rPr>
          <w:rFonts w:ascii="Times New Roman" w:eastAsia="SimSun" w:hAnsi="Times New Roman" w:cs="Times New Roman"/>
          <w:b/>
          <w:bCs/>
          <w:i w:val="0"/>
          <w:iCs w:val="0"/>
          <w:sz w:val="18"/>
          <w:szCs w:val="18"/>
          <w:rtl/>
        </w:rPr>
        <w:sectPr w:rsidR="00B5766C" w:rsidSect="00B5766C">
          <w:pgSz w:w="11906" w:h="16838"/>
          <w:pgMar w:top="1077" w:right="737" w:bottom="1701" w:left="737" w:header="709" w:footer="709" w:gutter="0"/>
          <w:cols w:space="708"/>
          <w:docGrid w:linePitch="360"/>
        </w:sectPr>
      </w:pPr>
    </w:p>
    <w:p w:rsidR="00666B7E" w:rsidRPr="005B08EE" w:rsidRDefault="00666B7E" w:rsidP="00666B7E">
      <w:pPr>
        <w:pStyle w:val="8"/>
        <w:bidi/>
        <w:spacing w:line="360" w:lineRule="auto"/>
        <w:jc w:val="both"/>
        <w:rPr>
          <w:rFonts w:ascii="Times New Roman" w:eastAsia="SimSun" w:hAnsi="Times New Roman" w:cs="Times New Roman"/>
          <w:b/>
          <w:bCs/>
          <w:i w:val="0"/>
          <w:iCs w:val="0"/>
          <w:sz w:val="18"/>
          <w:szCs w:val="18"/>
          <w:rtl/>
        </w:rPr>
      </w:pPr>
      <w:r w:rsidRPr="005B08EE">
        <w:rPr>
          <w:rFonts w:ascii="Times New Roman" w:hAnsi="Times New Roman" w:cs="Times New Roman"/>
          <w:b/>
          <w:bCs/>
          <w:i w:val="0"/>
          <w:iCs w:val="0"/>
          <w:sz w:val="18"/>
          <w:szCs w:val="18"/>
          <w:rtl/>
        </w:rPr>
        <w:lastRenderedPageBreak/>
        <w:t>خلاص</w:t>
      </w:r>
      <w:r w:rsidRPr="005B08EE">
        <w:rPr>
          <w:rFonts w:ascii="Times New Roman" w:hAnsi="Times New Roman" w:cs="Times New Roman"/>
          <w:b/>
          <w:bCs/>
          <w:i w:val="0"/>
          <w:iCs w:val="0"/>
          <w:sz w:val="18"/>
          <w:szCs w:val="18"/>
          <w:rtl/>
          <w:lang w:bidi="ar-EG"/>
        </w:rPr>
        <w:t xml:space="preserve">ة </w:t>
      </w:r>
      <w:r w:rsidRPr="005B08EE">
        <w:rPr>
          <w:rFonts w:ascii="Times New Roman" w:hAnsi="Times New Roman" w:cs="Times New Roman"/>
          <w:b/>
          <w:bCs/>
          <w:i w:val="0"/>
          <w:iCs w:val="0"/>
          <w:sz w:val="18"/>
          <w:szCs w:val="18"/>
          <w:rtl/>
        </w:rPr>
        <w:t>- هذا</w:t>
      </w:r>
      <w:r w:rsidRPr="005B08EE">
        <w:rPr>
          <w:rFonts w:ascii="Times New Roman" w:eastAsia="SimSun" w:hAnsi="Times New Roman" w:cs="Times New Roman"/>
          <w:b/>
          <w:bCs/>
          <w:i w:val="0"/>
          <w:iCs w:val="0"/>
          <w:sz w:val="18"/>
          <w:szCs w:val="18"/>
          <w:rtl/>
        </w:rPr>
        <w:t xml:space="preserve"> البحث يبحث في </w:t>
      </w:r>
      <w:r>
        <w:rPr>
          <w:rFonts w:ascii="Times New Roman" w:eastAsia="SimSun" w:hAnsi="Times New Roman" w:cs="Times New Roman" w:hint="cs"/>
          <w:b/>
          <w:bCs/>
          <w:i w:val="0"/>
          <w:iCs w:val="0"/>
          <w:sz w:val="18"/>
          <w:szCs w:val="18"/>
          <w:rtl/>
        </w:rPr>
        <w:t xml:space="preserve">الاتباع </w:t>
      </w:r>
      <w:r w:rsidRPr="005B08EE">
        <w:rPr>
          <w:rFonts w:ascii="Times New Roman" w:eastAsia="SimSun" w:hAnsi="Times New Roman" w:cs="Times New Roman"/>
          <w:b/>
          <w:bCs/>
          <w:i w:val="0"/>
          <w:iCs w:val="0"/>
          <w:sz w:val="18"/>
          <w:szCs w:val="18"/>
          <w:rtl/>
        </w:rPr>
        <w:t xml:space="preserve"> في اللهجات العربية ،</w:t>
      </w:r>
      <w:r>
        <w:rPr>
          <w:rFonts w:ascii="Times New Roman" w:eastAsia="SimSun" w:hAnsi="Times New Roman" w:cs="Times New Roman" w:hint="cs"/>
          <w:b/>
          <w:bCs/>
          <w:i w:val="0"/>
          <w:iCs w:val="0"/>
          <w:sz w:val="18"/>
          <w:szCs w:val="18"/>
          <w:rtl/>
        </w:rPr>
        <w:t>كأثر من تأثر الأصوات المتجاور</w:t>
      </w:r>
      <w:r>
        <w:rPr>
          <w:rFonts w:ascii="Times New Roman" w:eastAsia="SimSun" w:hAnsi="Times New Roman" w:cs="Times New Roman"/>
          <w:b/>
          <w:bCs/>
          <w:i w:val="0"/>
          <w:iCs w:val="0"/>
          <w:sz w:val="18"/>
          <w:szCs w:val="18"/>
          <w:rtl/>
        </w:rPr>
        <w:t>ة</w:t>
      </w:r>
      <w:r>
        <w:rPr>
          <w:rFonts w:ascii="Times New Roman" w:eastAsia="SimSun" w:hAnsi="Times New Roman" w:cs="Times New Roman" w:hint="cs"/>
          <w:b/>
          <w:bCs/>
          <w:i w:val="0"/>
          <w:iCs w:val="0"/>
          <w:sz w:val="18"/>
          <w:szCs w:val="18"/>
          <w:rtl/>
        </w:rPr>
        <w:t xml:space="preserve"> بعضها ببعض ،</w:t>
      </w:r>
      <w:r w:rsidRPr="005B08EE">
        <w:rPr>
          <w:rFonts w:ascii="Times New Roman" w:eastAsia="SimSun" w:hAnsi="Times New Roman" w:cs="Times New Roman"/>
          <w:b/>
          <w:bCs/>
          <w:i w:val="0"/>
          <w:iCs w:val="0"/>
          <w:sz w:val="18"/>
          <w:szCs w:val="18"/>
          <w:rtl/>
        </w:rPr>
        <w:t xml:space="preserve"> ومعالجة الفيومي صاحب المصباح المنير لها.</w:t>
      </w:r>
    </w:p>
    <w:p w:rsidR="00666B7E" w:rsidRPr="00666B7E" w:rsidRDefault="00666B7E" w:rsidP="00666B7E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20"/>
          <w:szCs w:val="20"/>
          <w:rtl/>
          <w:lang w:eastAsia="zh-CN"/>
        </w:rPr>
      </w:pPr>
      <w:r w:rsidRPr="00666B7E">
        <w:rPr>
          <w:rFonts w:ascii="Times New Roman" w:eastAsia="SimSun" w:hAnsi="Times New Roman" w:cs="Times New Roman"/>
          <w:b/>
          <w:bCs/>
          <w:sz w:val="20"/>
          <w:szCs w:val="20"/>
          <w:rtl/>
          <w:lang w:eastAsia="zh-CN"/>
        </w:rPr>
        <w:t>الكلمات المفتاحية :</w:t>
      </w:r>
    </w:p>
    <w:p w:rsidR="00666B7E" w:rsidRPr="00666B7E" w:rsidRDefault="00666B7E" w:rsidP="00666B7E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666B7E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علم لغة – معاجم – المصباح المنير – الفيومي </w:t>
      </w:r>
    </w:p>
    <w:p w:rsidR="00666B7E" w:rsidRPr="00666B7E" w:rsidRDefault="00666B7E" w:rsidP="00666B7E">
      <w:pPr>
        <w:pStyle w:val="1"/>
        <w:numPr>
          <w:ilvl w:val="0"/>
          <w:numId w:val="2"/>
        </w:numPr>
        <w:tabs>
          <w:tab w:val="clear" w:pos="0"/>
          <w:tab w:val="num" w:pos="-216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jc w:val="center"/>
        <w:rPr>
          <w:rFonts w:asciiTheme="minorHAnsi" w:eastAsia="Times New Roman" w:hAnsiTheme="minorHAnsi" w:cstheme="minorBidi"/>
          <w:color w:val="auto"/>
          <w:sz w:val="22"/>
          <w:szCs w:val="22"/>
          <w:rtl/>
        </w:rPr>
      </w:pPr>
      <w:r w:rsidRPr="00666B7E">
        <w:rPr>
          <w:rFonts w:asciiTheme="minorHAnsi" w:eastAsia="Times New Roman" w:hAnsiTheme="minorHAnsi" w:cstheme="minorBidi"/>
          <w:color w:val="auto"/>
          <w:sz w:val="22"/>
          <w:szCs w:val="22"/>
          <w:rtl/>
        </w:rPr>
        <w:t>المقدمة</w:t>
      </w:r>
    </w:p>
    <w:p w:rsidR="00666B7E" w:rsidRPr="005B08EE" w:rsidRDefault="00666B7E" w:rsidP="00666B7E">
      <w:pPr>
        <w:pStyle w:val="a5"/>
        <w:rPr>
          <w:b/>
          <w:bCs/>
          <w:sz w:val="18"/>
          <w:szCs w:val="18"/>
          <w:rtl/>
        </w:rPr>
      </w:pPr>
      <w:r w:rsidRPr="005B08EE">
        <w:rPr>
          <w:b/>
          <w:bCs/>
          <w:sz w:val="18"/>
          <w:szCs w:val="18"/>
          <w:rtl/>
        </w:rPr>
        <w:t xml:space="preserve">اختلاف حركات الكلمة بين "  الضم والكسر " وبين "  الضم والفتح  "   وبين "  الكسر والفتح  " ،  وبين " التحريك والتسكين "  من الأمور التي تفرق بين لهجة وأخرى وسنعرض فيما يلي أمثلة مما أورده الفيومي في مصباحه من اختلاف بين اللهجات في  </w:t>
      </w:r>
      <w:r>
        <w:rPr>
          <w:rFonts w:hint="cs"/>
          <w:b/>
          <w:bCs/>
          <w:sz w:val="18"/>
          <w:szCs w:val="18"/>
          <w:rtl/>
        </w:rPr>
        <w:t>عين الكلمة</w:t>
      </w:r>
      <w:r w:rsidRPr="005B08EE">
        <w:rPr>
          <w:b/>
          <w:bCs/>
          <w:sz w:val="18"/>
          <w:szCs w:val="18"/>
          <w:rtl/>
        </w:rPr>
        <w:t xml:space="preserve">  : </w:t>
      </w:r>
    </w:p>
    <w:p w:rsidR="00666B7E" w:rsidRPr="005B08EE" w:rsidRDefault="00666B7E" w:rsidP="00666B7E">
      <w:pPr>
        <w:numPr>
          <w:ilvl w:val="0"/>
          <w:numId w:val="2"/>
        </w:numPr>
        <w:tabs>
          <w:tab w:val="clear" w:pos="0"/>
          <w:tab w:val="num" w:pos="-216"/>
        </w:tabs>
        <w:suppressAutoHyphens/>
        <w:spacing w:after="0" w:line="240" w:lineRule="auto"/>
        <w:ind w:left="-216"/>
        <w:jc w:val="center"/>
        <w:rPr>
          <w:rFonts w:eastAsia="Times New Roman"/>
          <w:b/>
          <w:bCs/>
        </w:rPr>
      </w:pPr>
      <w:r w:rsidRPr="005B08EE">
        <w:rPr>
          <w:rFonts w:eastAsia="Times New Roman"/>
          <w:b/>
          <w:bCs/>
          <w:rtl/>
        </w:rPr>
        <w:t>- موضوع المقالة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الاتباع  : ضرب من ضروب تأثر الصوائت المتجاورة بعضها ببعض وقد عد اللغويون للاتباع أنواعا منها :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اتباع بالإبدال : كحسن بسن .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اتباع بالقلب : كسبسب وبسبس .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واتباع بالحركة : كما في زِئبِر ومِنخِر وسَجَدات وتُنضُب في تَنضُب .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واتباع بالإعراب : كما في يا أيه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ا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الناس ،  وكما في الجر بالمجاورة .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اتباع بالإعلال : وهو عل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ى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وجهين إعلال</w:t>
      </w:r>
      <w:r w:rsidRPr="00B5766C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</w:rPr>
        <w:t xml:space="preserve"> بالمثل كما في ( كيّ )  وإعلال بالإشباع كما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في ( مدار ) .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اتباع بالإدغام  : كما في عضّ ومصّ  وقد تمكن هذا الاتباع في منطق العرب حتى أجروه على الحروف المتقاربة .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واتباع بالمزاوجة : كما في (  ليرجعن مأزورات غير مأجورات )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 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.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واتباع بالتحريف أو التصحي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ف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: كما في قول العباس (هو لشارب حل وبل )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 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والذي نقصده هنا النوع الثالث وهو الاتباع بالحركة ومن الأمثلة التي أوردها الفيومي للاتباع :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أ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 تحريك العين اتباعا لحركة الفاء :</w:t>
      </w:r>
    </w:p>
    <w:p w:rsidR="00B5766C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[ الجمعة  ]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:  ... ويوم الجمعة سمي بذلك لاجتماع الناس فيه وضم الميم لغة الحجاز وفتحها  لغة بني تميم وإسكانها لغة عقيل وقرأ بها الأعمش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B5766C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 نقل صاحب اللسان اللغات الثلاث في ( الجمعة )  ونسب التثقيل أي ضم الميم لأهل الحجاز ونسب التخفيف أي تسكين الميم لبني عقيل ،  وقال :  والأصل فيها التخفيف جمعة فمن ثقل أتبع الضمة  الضمة  ومن خفف فعلي الأصل "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5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 نسب صاحب الإتحاف إسكان الميم إلي تميم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6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[ الحقب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: الحقب : الدهر والجمع ( أحقاب )  مثل قفل وأقفال وضم القاف للاتباع  لغة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7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نسب صاحب اللسان  ( الحقب )  بضمتين إلي قيس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8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[  الخبث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:  ...  و(  أعوذ بك من الخبث والخبائث )  بضم الباء والإسكان جائز علي لغة تميم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9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ذكر صاحب اللسان أن ( الخبث ) الشر ونقل عن أبي عبيد ( الخبث ) بضم الباء جمع الخبيث وهو الشيطان الذكر وقال ابن الأثير : الخبث بضم الباء جمع الخبيث ...  وقيل : هو الخبث بسكون الباء وهو خلاف طيب الفعل من فجور وغيره  "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0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[  الرعب 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: ... والاسم ( الرعب ) بالضم ،  وتضم العين للاتباع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1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نقل صاحب اللسان اللغتين  دون نسبة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2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، و( الرعب ) في القرآن قرأ ابن عامر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3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 الكسائي  وأبو جعفر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4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ويعقوب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5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بضم العين وهو لغة الحجازيين ، وقرأ الباقون بإسكان العين وهو لغة تميم وأسد وعامة قيس "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6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 [  سطر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rtl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:... و(  السطر ) الصف من الشجر وغيره وتفتح الطاء في لغة بني عجل فيجمع علي ( أسطار ) مثل سبب وأسباب ويسكن في لغة الجمهور فيجمع علي أسطر وسطور مثل فلس وأفلس وفلوس "</w:t>
      </w:r>
      <w:r w:rsidRPr="00B5766C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</w:rPr>
        <w:t xml:space="preserve"> </w:t>
      </w:r>
      <w:r w:rsidRPr="00B5766C"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rtl/>
        </w:rPr>
        <w:t>(</w:t>
      </w:r>
      <w:r w:rsidRPr="00B5766C"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rtl/>
        </w:rPr>
        <w:footnoteReference w:id="17"/>
      </w:r>
      <w:r w:rsidRPr="00B5766C"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rtl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وافق الفيومي أبا زيد صاحب النوادر  في نسبة ( السطر ) بفتحتين  إلى بني عجل فقد جاء عن أبي زيد : "  أنه سمع بعض العجلانيين يقول هذا سطر بفتح الفاء والعين "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8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وتسكن هذه الصيغة في لغة الجمهور ،  واستشهد ابن السكيت لصيغة الفتح بقول جرير : [  من البسيط ]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      من شاء بايعته مالي وخلعته       ما تكمل التيم في ديوانهم سطرا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19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[ الطعم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: ... و( الطعم )  ما يشتهي من الطعام وليس للغث طعم والطعم بفتحتين لغة كلابية  "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0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[  عشر 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يقول الفيومي : " ويقال أحد عشر وثلاثة عشر إلي تسعة عشر بفتح الشين وسكونها لغة وقرأ بها أبو جعفر "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1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نسب أبو حيان إسكان الشين في ( عشرة )  إلي الحجاز وكسرها إلي تميم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2"/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.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كما قرأ ابن وثاب</w:t>
      </w:r>
      <w:r w:rsidR="00274DB0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274DB0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3"/>
      </w:r>
      <w:r w:rsidR="00274DB0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قوله تعالي"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وَقَطَّعْنَاهُمُ اثْنَتَيْ عَشْرَةَ أَسْبَاطًا أُمَمًا َ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" الأعراف :160]  بكسر الشين وهي في تميم ، والجمهور بالإسكان وهي لغة الحجاز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4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،  ونقل السيوطي عن  نوادر يونس : أن تميما تثقل ( عشرة )  وتكسر الشين وأهل الحجاز ل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ا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يحركون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5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.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ويعلل ابن جني لهذه المخالفة -  حيث إن المشهور ع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ن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أهل الحجاز التحريك وبني تميم الإسكان -  فيقول : "  وذلك أن العدد موضع يحدث معه ترك الأصول ويضم فيه الكلم بعضه إلي بعض وذلك من أحد عشر إلي تسعة عشر فلم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ا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فارقوا أصول الكلام من الإفراد وصاروا إلي الض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م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فارقوا أيضا أصول أوضاعهم ومألوف لغاتهم فأسكن من كان يحرك وحرك من كان يسكن "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6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ولكن الزجاجي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7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)</w:t>
      </w:r>
      <w:r w:rsidR="00B5766C"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في مجالس العلماء : يذكر أن تميما تسكن شين ( عشرة ) في نحو ( إحدى عشرة )  وأن أهل الحجاز يحركونها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8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[ العضد ]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يقول الفيومي :  ... و(  العضد)  ما بين المرفق إلى الكتف وفيها خمس  لغات :  وزان رجل  وبضمتين  في لغة الحجاز وقرأ بها الحسن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29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في  قوله تعالى : " 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ْ وَمَا كُنتُ مُتَّخِذَ الْمُضِلِّينَ عَضُدًا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"  ، ومثال كبد في  لغة بنى أ سد  ، ومثال فلس في لغة تميم  و بكر  ، والخامسة :  وزان قفل  "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0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نحن أمام خمس لغات لكلمة ( عضد ) ذكرها الفيومي :  ( عَضُد  -  عُضُد )    لغة الحجاز  ،  - ( عَضِد ) :  لغة بنى أسد ،-  ( عَضْد )  : لغة تميم ، وبكر               و الخامسة ( عُضْد ) 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وقد ذكر صاحب اللسان الخمس لغات ونقل عن  ثعلب  لغة سادسة : العَضَد بفتح العين والضاد ، ونسب ( العضد )  بضم العين والضاد إلى أهل تهامة ،  .ونسب ( العضد ) بفتح العين وضم الضاد إلى تميم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1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، ويروى عن أبى عمرو أنه قال : إن ضم عينه وضاده  لغة لبعض أهل الحجاز ولكن أبا حاتم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2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يشك في صحة نسبة هذه الرواية إلى أبى عمرو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3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، وقد قال أبو زيد أن هذه لغة بنى تميم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4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أي  العضد بضمتين .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وقد عزا  صاحب "  البحر " صيغة ( عضدا ) بفتح العين وسكون الضاد      إلى تميم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5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،  متوافقا بذلك مع  الفيومي .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هذا والقراء كلهم  قرءوا ( عضدا )  في موضعي القرآن :  بفتح العين وضم الضاد في  قوله تعالى :  "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ْ وَمَا كُنتُ مُتَّخِذَ الْمُضِلِّينَ عَضُدًا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" [  الكهف :51] ، وقوله تعالى : "  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قَالَ سَنَشُدُّ عَضُدَكَ بِأَخِيكَ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" [  القصص : 35] ؛  إلا الحسن فقد قرأ بفتح الضاد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6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،  والغريب أن الفيومي  نسب إلي الحسن  ( عضدا ) بضمتين .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ويشير اختلاف هذه  الروايات في  عزو اللهجات إلى أن اللهجات كان بعضها يحل مكان بعض في نظر اللغويين والرواة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7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[  العنق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: العنق : الرقبة ... والنون مضمومة للاتباع في لغة الحجاز وساكنة في لغة تميم والجمع أعناق "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8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="001E7598"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نقل صاحب اللسان اللغتين دون نسبة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39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[ سكارى ]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يقول الفيومي : وامرأة سكرى  والجمع سكارى بضم السين وفتحها لغة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0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روى عن أهل الحجاز أنهم يقولون  سكارى  ، وكسالى ،  وغيارى   بالضم وبنو تميم يفتحون 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1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،  وفى شواذ القرآن :  أن عيسى قرأ  "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ْ وَإِذَا قَامُواْ إِلَى الصَّلاَةِ قَامُواْ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lastRenderedPageBreak/>
        <w:t>كُسَالَى ً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"  [ النساء  : 142 ]  بالفتح  ، و عزيت  لتميم وأسد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2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 وعزا أبو حيان الضم للحجاز وبها  قرأ الجمهور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3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أي أن تميم تفتح الفاء اتباعا لحركة العين .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>من خلال عرض النصوص التي أوردها الفيومي تبين أن لهجة الحجاز وما جاورها  كانت لا تحذف الحركات القصيرة  وأما تميم وبكر بن وائل  فإنها كانت جميعا تجنح إلي حذف الحركات القصيرة  ( وذلك بتسكين عين الكلمة )  ولعل هذا يتفق مع طبيعة البدو في السرعة في نطق الكلمة "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4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ب- الاتباع في صيغتي : (  منتن </w:t>
      </w:r>
      <w:r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منخر )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</w:p>
    <w:p w:rsidR="00B5766C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يقول الفيومي  : " المنخر : مثال مسجد خرق الأنف وأصله موضع النخير ... و( المنخر ) بكسر الميم للاتباع  لغة ومثله منتن قالوا ولا ثالث لهما " 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5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سمي الفيومي كسر الميم في منخر ومنتن اتباعا .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وقد عزا ابن سيده في المخصص  ( منتن )  بضم الأول إلي أهل الحجاز وعزا " منتن " بكسر الأول لطائفة من العرب جلهم من تميم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6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)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.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وقال ابن السكيت :"  ليس في الكلام  مفعل  ( بكسر الميم والعين  ) إلا حرفان قالوا : منخر ومنتن ،  ونقل عن أبي عمرو : من قال نتن الشي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ء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قال هو منتن  ( بكسر الميم والتاء )  ومن قال أنتن الشي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ء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قال منتن ( بضم الميم وكسر          التاء  ) 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7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وعلق ابن سيده علي قول أبي عمرو : " هذا غلط من  أبي عمرو والأصل في هذه الكلمة أنتن الشي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ء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 فهو مُنتِن وهي بلغة أهل الحجاز،  وغيرهم يقول : نتن الشي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ء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ينتن نتنا ولا يقولون نتين   وهكذا القياس في ( فَعُل  ) كقولهم فقه وشرف ... فهو فقيه وشريف ...   إلا أن طائفة من العرب جلهم من تميم يقولون شئ منتن فيتبعون الكسر الكسر 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8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هذا وقد عزا (  ابن حسنون )  مِنتِن ( بكسر الأو</w:t>
      </w:r>
      <w:r w:rsidRPr="00B5766C">
        <w:rPr>
          <w:rFonts w:ascii="Times New Roman" w:eastAsia="SimSun" w:hAnsi="Times New Roman" w:cs="Times New Roman" w:hint="eastAsia"/>
          <w:b/>
          <w:bCs/>
          <w:sz w:val="18"/>
          <w:szCs w:val="18"/>
          <w:rtl/>
          <w:lang w:eastAsia="zh-CN"/>
        </w:rPr>
        <w:t>ل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) إلي أهل الحجاز ونسب مُنتِن  إلي تميم فعكس الأمر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49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</w:p>
    <w:p w:rsidR="00970BDD" w:rsidRPr="00B5766C" w:rsidRDefault="00970BDD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</w:pP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ويري أحد الباحثين أن ما في كتاب ابن حسنون  : من خطأ النساخ في الضبط   ؛ لأن المأثور ميل تميم إلي الاتباع والتجانس الصوتي وأما أهل الحجاز فيعرفون بالتأني وإعطاء كل صوت حقه من الأداء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>(</w:t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footnoteReference w:id="50"/>
      </w:r>
      <w:r w:rsidR="001E7598" w:rsidRPr="00B5766C">
        <w:rPr>
          <w:rFonts w:ascii="Times New Roman" w:eastAsia="SimSun" w:hAnsi="Times New Roman" w:cs="Times New Roman"/>
          <w:b/>
          <w:bCs/>
          <w:sz w:val="18"/>
          <w:szCs w:val="18"/>
          <w:rtl/>
          <w:lang w:eastAsia="zh-CN"/>
        </w:rPr>
        <w:t xml:space="preserve">)  </w:t>
      </w:r>
      <w:r w:rsidRPr="00B5766C">
        <w:rPr>
          <w:rFonts w:ascii="Times New Roman" w:eastAsia="SimSu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666B7E" w:rsidRPr="009341DD" w:rsidRDefault="00666B7E" w:rsidP="00666B7E">
      <w:pPr>
        <w:jc w:val="center"/>
        <w:rPr>
          <w:b/>
          <w:bCs/>
          <w:lang w:bidi="ar-EG"/>
        </w:rPr>
      </w:pPr>
      <w:r w:rsidRPr="009341DD">
        <w:rPr>
          <w:rFonts w:hint="cs"/>
          <w:b/>
          <w:bCs/>
          <w:rtl/>
        </w:rPr>
        <w:t>المراجع :</w:t>
      </w:r>
    </w:p>
    <w:p w:rsidR="00666B7E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إبراز المعاني من حرز الأماني . أبوشامة المقدسي ،  ط  : مصطفى البابي  الحلبي 1349 هـ .</w:t>
      </w:r>
    </w:p>
    <w:p w:rsidR="00666B7E" w:rsidRPr="00A61B53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أخبار النحويين البصريين لأبي سعيد السيرافي . تحقيق طه الزيني ، ومحمد عبد المنعم خفاجي ، مصر 1955 م .</w:t>
      </w:r>
    </w:p>
    <w:p w:rsidR="00666B7E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إتحاف فضلاء البشر في القراءات الأربعة عشر . أحمد بن محمد الدمياطي الشهير بالبناء . منشورات محمد علي بيضون  - دار الكتب العلمية بيروت ط أولى 1998 م .</w:t>
      </w:r>
    </w:p>
    <w:p w:rsidR="00666B7E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أساس البلاغة . جار الله محمود بن عمر الزمخشري . تحقيق عبد الرحيم محمود . دار المعرفة . 1982 م . مطبعة دار الكتب 1972 م ط ثانية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إصلاح المنطق . يعقوب بن إسحاق بن السكيت . تحقيق أحمد محمد شاكر  وعبد السلام هارون  دار المعارف . ط الرابعة . مصر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الأصوات اللغوية  . إبراهيم أنيس . القاهرة : مكتبة الأنجلو المصرية  ط : 1995 م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أوضح المسالك إلى ألفية ابن مالك لأبي محمد عبد الله جمال الدين بن هشام الأنصاري ، تحقيق محيي الدين عبد الحميد . ط: 5 ، 1966 م . بيروت دار إحياء التراث العربي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إيضاح الوقف والابتداء في كتاب الله عز وجل، محمد بن القاسم بن الأنبا ر</w:t>
      </w:r>
      <w:r w:rsidRPr="00EF5FCC">
        <w:rPr>
          <w:rFonts w:ascii="Times New Roman" w:hAnsi="Times New Roman" w:cs="Times New Roman" w:hint="eastAsia"/>
          <w:b/>
          <w:bCs/>
          <w:sz w:val="18"/>
          <w:szCs w:val="18"/>
          <w:rtl/>
          <w:lang w:eastAsia="zh-CN"/>
        </w:rPr>
        <w:t>ي</w:t>
      </w:r>
      <w:r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تحقيق محيي الدين رمضان 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. دمشق : مجمع اللغة العربية، 1390 هـ .</w:t>
      </w:r>
    </w:p>
    <w:p w:rsidR="00666B7E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البحر المحيط لأثير الدين أبي عبد الله  محمد بن يوسف بن حيان  الأندلسي الشهير بأبي حيان . مكتبة ومطابع النصر الحديثة . الرياض ، مطبعة السعادة ، ط: الأولى 1328 هـ .</w:t>
      </w:r>
    </w:p>
    <w:p w:rsidR="00666B7E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تاريخ آداب العرب : لمصطفى صادق الرافعي  مكتبة الإيمان بالمنصورة . مصر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تفسير الطبري : المسمى : جامع البيان عن تأويل آي  القرآن . لأبي جعفر محمد بن جرير الطبري تحقيق محمود محمد شاكر . مصر دار المعارف ، وطبعة دار الفكر العربي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1405 هـ ط 2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تحقيق :  أحمد عبد العليم البردوني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تفسير القرطبي لأبي عبد الله محمد بن أحمد الأنصاري القرطبي . دار الكتب المصرية ، 1386 هـ  ،  و طبعة دار الشعب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الطبعة الثانية 1373 هـ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الحصيلة اللغوية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أهميتها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مصادرها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وسائل تنميتها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 / احمد محمد المعتوق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سلسلة عالم المعرفة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الكويت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عدد أغسطس 1996 م . 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الخصائص لأبي الفتح عثمان بن جني تحقيق محمد علي النجار دار الكتب، والمكتبة التوفيقية  القاهرة تحقيق عبد الحكيم بن محمد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الدراسات الصوتية عند علماء العربية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عبد الحميد الهادي الأصيبعي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منشورات كلية الدعوة الإسلامية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طرابلس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ليبيا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1410 هـ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1992 م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الدراسات الصوتية واللهجية عند ابن جني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حسام سعيد النعيمي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دار الرشيد للنشر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العراق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1980 م .</w:t>
      </w:r>
    </w:p>
    <w:p w:rsidR="00666B7E" w:rsidRPr="00EF5FCC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دراسات في علم اللغة العام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كمال محمد بشر 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: دار المعارف ط : 2 ، 1971 م .</w:t>
      </w:r>
    </w:p>
    <w:p w:rsidR="00666B7E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دراسة الصوت اللغوي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أحمد مختار عمر</w:t>
      </w:r>
      <w:r w:rsidRPr="00EF5FCC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EF5FCC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: عالم الكتب ط : 1 ، 1369 هـ . 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عصور الاحتجا</w:t>
      </w:r>
      <w:r w:rsidRPr="009341DD">
        <w:rPr>
          <w:rFonts w:ascii="Times New Roman" w:hAnsi="Times New Roman" w:cs="Times New Roman" w:hint="eastAsia"/>
          <w:b/>
          <w:bCs/>
          <w:sz w:val="18"/>
          <w:szCs w:val="18"/>
          <w:rtl/>
          <w:lang w:eastAsia="zh-CN"/>
        </w:rPr>
        <w:t>ج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في النحو العربي الجزء الأول د / محمد إبراهيم عبادة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دار المعارف بمصر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1980 م .  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فجر الإسلام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أحمد أمين  الهيئة المصرية العامة للكتاب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مصر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سلسلة مهرجان القراءة للجميع 1996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فصول في فقه العربية د/ رمضان عبد التواب  مكتبة الخانجي بالقاهرة 1980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في علم اللغة العام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>عبد الصبور شاهين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مكتبة الشباب1984م.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في اللهجات العربية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د/ إبراهيم أنيس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مكتبة الأنجلو المصرية ط : التاسعة  1995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القراءات واللهجات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عبد الوهاب حمودة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: مكتبة النهضة المصرية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اللغة العربية بين الفصحى والعامية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خالد مفلح عيسى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الدار الجماهيرية للنشر والتوزيع- ليبيا-  طبعة أولى 1987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لغة قريش -  مختار الغوث  دار المعراج الدولية للنشر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المملكة العربية السعودية  ط : الأولى  1418 هـ -  1997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اللهجات العربية  د/ إبراهيم نجا -  مطبعة السعادة  1973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اللهجات العربية في التراث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 / أحمد علم الدين الجندي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الدار العربية للكتاب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ليبيا -  1983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اللهجات في الكتاب لسيبويه  أصواتا وبنية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صالحة راشد آل غنيم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طبع ونشر مركز البحث العلمي وإحياء التراث الإسلامي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جامعة أم القرى  -  مكة المكرمة  - ط : الأولى 1405 هـ - 1985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المدخل إلى دراسة النحو العربي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د/ عبد المجي</w:t>
      </w:r>
      <w:r w:rsidRPr="009341DD">
        <w:rPr>
          <w:rFonts w:ascii="Times New Roman" w:hAnsi="Times New Roman" w:cs="Times New Roman" w:hint="eastAsia"/>
          <w:b/>
          <w:bCs/>
          <w:sz w:val="18"/>
          <w:szCs w:val="18"/>
          <w:rtl/>
          <w:lang w:eastAsia="zh-CN"/>
        </w:rPr>
        <w:t>د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عابدين ، القاهرة ط : الأولى 1951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المصباح المنير لأحمد بن محمد الفيومي تحقيق : د/ عبد العظيم الشناوي -  دار المعارف  بمصر . 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المعاجم العربية دراسة تحليلية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الكتاب الأول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د/ عبد السميع محمد أحمد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دار الفكر العربي الطبعة الثالثة 1979 م والرابعة 1984 م 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المعاجم العربية مع اعتناء بمعجم العين للخليل بن أحمد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 /        عبد الله درويش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مكتبة الشباب -  القاهرة - بدون تاريخ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معجمات  العربية : النظرية و التطبيق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د/ عبد الحليم محمد عبد الحليم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مطبعة الحسين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مصر -  ط : 1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1989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معجم البلدان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ياقوت الحموي بيروت  : دار صادر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 1399هـ  ، ومطبعة السعادة  1906  مصر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المعجم العربي  ( بحوث في المادة والمنهج والتطبيق )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 / رياض زكي قاسم  - دار المعرفة -  بيروت ط : 1987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المعجم العربي : نشأته وتطوره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حسين نصار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مصر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مكتبة مصر . 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معجم قبائل العرب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عمر رضا كحالة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المطبعة الهاشمية بدمشق 1368 هـ .، وطبعة بيروت 1968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معجم لغات القبائل والأمصار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 / جميل سعيد و داود سلوم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مطبعة المجمع العلمي العراقي 1978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معجم ما استعجم-  للبكري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مطبعة لجنة التأليف والترجمة والنشر 1951 م 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.المعجم المفهرس لألفاظ الحديث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لفيف من المستشرقين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ليدن : مطبعة بريل 1955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المعجم الوسيط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مجمع اللغة العربية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الطبعة الثالثة 1985 م .</w:t>
      </w:r>
    </w:p>
    <w:p w:rsidR="00666B7E" w:rsidRPr="009341DD" w:rsidRDefault="00666B7E" w:rsidP="00666B7E">
      <w:pPr>
        <w:pStyle w:val="a6"/>
        <w:numPr>
          <w:ilvl w:val="0"/>
          <w:numId w:val="1"/>
        </w:numPr>
        <w:ind w:right="0"/>
        <w:jc w:val="both"/>
        <w:rPr>
          <w:rFonts w:ascii="Times New Roman" w:hAnsi="Times New Roman" w:cs="Times New Roman" w:hint="cs"/>
          <w:b/>
          <w:bCs/>
          <w:sz w:val="18"/>
          <w:szCs w:val="18"/>
          <w:lang w:eastAsia="zh-CN"/>
        </w:rPr>
      </w:pP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المعرب من الكلام الأعجمي على حروف المعجم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الجواليقي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تحقيق أحمد شاكر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دار الكتب </w:t>
      </w:r>
      <w:r w:rsidRPr="009341DD">
        <w:rPr>
          <w:rFonts w:ascii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9341DD">
        <w:rPr>
          <w:rFonts w:ascii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1361 هـ .</w:t>
      </w:r>
    </w:p>
    <w:p w:rsidR="00573DF5" w:rsidRPr="00666B7E" w:rsidRDefault="00573DF5" w:rsidP="00B5766C">
      <w:pPr>
        <w:suppressAutoHyphens/>
        <w:spacing w:after="0" w:line="360" w:lineRule="auto"/>
        <w:jc w:val="lowKashida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sectPr w:rsidR="00573DF5" w:rsidRPr="00666B7E" w:rsidSect="00B5766C">
      <w:type w:val="continuous"/>
      <w:pgSz w:w="11906" w:h="16838" w:code="9"/>
      <w:pgMar w:top="1077" w:right="737" w:bottom="1701" w:left="737" w:header="709" w:footer="709" w:gutter="0"/>
      <w:cols w:num="2"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440" w:rsidRDefault="004E7440" w:rsidP="00970BDD">
      <w:pPr>
        <w:spacing w:after="0" w:line="240" w:lineRule="auto"/>
      </w:pPr>
      <w:r>
        <w:separator/>
      </w:r>
    </w:p>
  </w:endnote>
  <w:endnote w:type="continuationSeparator" w:id="1">
    <w:p w:rsidR="004E7440" w:rsidRDefault="004E7440" w:rsidP="0097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440" w:rsidRDefault="004E7440" w:rsidP="00970BDD">
      <w:pPr>
        <w:spacing w:after="0" w:line="240" w:lineRule="auto"/>
      </w:pPr>
      <w:r>
        <w:separator/>
      </w:r>
    </w:p>
  </w:footnote>
  <w:footnote w:type="continuationSeparator" w:id="1">
    <w:p w:rsidR="004E7440" w:rsidRDefault="004E7440" w:rsidP="00970BDD">
      <w:pPr>
        <w:spacing w:after="0" w:line="240" w:lineRule="auto"/>
      </w:pPr>
      <w:r>
        <w:continuationSeparator/>
      </w:r>
    </w:p>
  </w:footnote>
  <w:footnote w:id="2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1E7598" w:rsidRPr="00B5766C">
        <w:rPr>
          <w:rFonts w:ascii="Tahoma" w:hAnsi="Tahoma" w:cs="Tahoma" w:hint="cs"/>
          <w:rtl/>
          <w:lang/>
        </w:rPr>
        <w:t>جاء في تفسير الطبري : ( 15 / 55 ) همز مأزورات لهمز مأجورات وهي من وزرت : اتباعا</w:t>
      </w:r>
    </w:p>
  </w:footnote>
  <w:footnote w:id="3">
    <w:p w:rsidR="00970BDD" w:rsidRPr="00B5766C" w:rsidRDefault="00970BDD" w:rsidP="00C1759A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>)</w:t>
      </w:r>
      <w:r w:rsidR="001E7598" w:rsidRPr="00B5766C">
        <w:rPr>
          <w:rFonts w:ascii="Tahoma" w:hAnsi="Tahoma" w:cs="Tahoma" w:hint="cs"/>
          <w:rtl/>
          <w:lang/>
        </w:rPr>
        <w:t>ينظر : مقدمة لدرس لغة العرب عبد الل</w:t>
      </w:r>
      <w:r w:rsidR="001E7598" w:rsidRPr="00B5766C">
        <w:rPr>
          <w:rFonts w:ascii="Tahoma" w:hAnsi="Tahoma" w:cs="Tahoma" w:hint="eastAsia"/>
          <w:rtl/>
          <w:lang/>
        </w:rPr>
        <w:t>ه</w:t>
      </w:r>
      <w:r w:rsidR="001E7598" w:rsidRPr="00B5766C">
        <w:rPr>
          <w:rFonts w:ascii="Tahoma" w:hAnsi="Tahoma" w:cs="Tahoma" w:hint="cs"/>
          <w:rtl/>
          <w:lang/>
        </w:rPr>
        <w:t xml:space="preserve"> العلا يل</w:t>
      </w:r>
      <w:r w:rsidR="001E7598" w:rsidRPr="00B5766C">
        <w:rPr>
          <w:rFonts w:ascii="Tahoma" w:hAnsi="Tahoma" w:cs="Tahoma" w:hint="eastAsia"/>
          <w:rtl/>
          <w:lang/>
        </w:rPr>
        <w:t>ي</w:t>
      </w:r>
      <w:r w:rsidR="001E7598" w:rsidRPr="00B5766C">
        <w:rPr>
          <w:rFonts w:ascii="Tahoma" w:hAnsi="Tahoma" w:cs="Tahoma" w:hint="cs"/>
          <w:rtl/>
          <w:lang/>
        </w:rPr>
        <w:t>( 219 )</w:t>
      </w:r>
    </w:p>
  </w:footnote>
  <w:footnote w:id="4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1E7598" w:rsidRPr="00B5766C">
        <w:rPr>
          <w:rFonts w:ascii="Tahoma" w:hAnsi="Tahoma" w:cs="Tahoma" w:hint="cs"/>
          <w:rtl/>
          <w:lang/>
        </w:rPr>
        <w:t xml:space="preserve">المصباح ( 108 </w:t>
      </w:r>
      <w:r w:rsidR="001E7598" w:rsidRPr="00B5766C">
        <w:rPr>
          <w:rFonts w:ascii="Tahoma" w:hAnsi="Tahoma" w:cs="Tahoma"/>
          <w:rtl/>
          <w:lang/>
        </w:rPr>
        <w:t>–</w:t>
      </w:r>
      <w:r w:rsidR="001E7598" w:rsidRPr="00B5766C">
        <w:rPr>
          <w:rFonts w:ascii="Tahoma" w:hAnsi="Tahoma" w:cs="Tahoma" w:hint="cs"/>
          <w:rtl/>
          <w:lang/>
        </w:rPr>
        <w:t xml:space="preserve"> 109 )</w:t>
      </w:r>
    </w:p>
  </w:footnote>
  <w:footnote w:id="5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1E7598" w:rsidRPr="00B5766C">
        <w:rPr>
          <w:rFonts w:ascii="Tahoma" w:hAnsi="Tahoma" w:cs="Tahoma" w:hint="cs"/>
          <w:rtl/>
          <w:lang/>
        </w:rPr>
        <w:t>اللسان  : ( جمع )</w:t>
      </w:r>
    </w:p>
  </w:footnote>
  <w:footnote w:id="6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1E7598" w:rsidRPr="00B5766C">
        <w:rPr>
          <w:rFonts w:ascii="Tahoma" w:hAnsi="Tahoma" w:cs="Tahoma" w:hint="cs"/>
          <w:rtl/>
          <w:lang/>
        </w:rPr>
        <w:t>الإتحاف : ( 542 )</w:t>
      </w:r>
    </w:p>
  </w:footnote>
  <w:footnote w:id="7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1E7598" w:rsidRPr="00B5766C">
        <w:rPr>
          <w:rFonts w:ascii="Tahoma" w:hAnsi="Tahoma" w:cs="Tahoma"/>
          <w:rtl/>
          <w:lang/>
        </w:rPr>
        <w:t>–</w:t>
      </w:r>
      <w:r w:rsidR="001E7598" w:rsidRPr="00B5766C">
        <w:rPr>
          <w:rFonts w:ascii="Tahoma" w:hAnsi="Tahoma" w:cs="Tahoma" w:hint="cs"/>
          <w:rtl/>
          <w:lang/>
        </w:rPr>
        <w:t xml:space="preserve"> المصباح : ( 143 )</w:t>
      </w:r>
    </w:p>
  </w:footnote>
  <w:footnote w:id="8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1E7598" w:rsidRPr="00B5766C">
        <w:rPr>
          <w:rFonts w:ascii="Tahoma" w:hAnsi="Tahoma" w:cs="Tahoma" w:hint="cs"/>
          <w:rtl/>
          <w:lang/>
        </w:rPr>
        <w:t>اللسان  : ( حقب )</w:t>
      </w:r>
    </w:p>
  </w:footnote>
  <w:footnote w:id="9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1E7598" w:rsidRPr="00B5766C">
        <w:rPr>
          <w:rFonts w:ascii="Tahoma" w:hAnsi="Tahoma" w:cs="Tahoma" w:hint="cs"/>
          <w:rtl/>
          <w:lang/>
        </w:rPr>
        <w:t xml:space="preserve">المصباح :  ( 162 ) </w:t>
      </w:r>
    </w:p>
  </w:footnote>
  <w:footnote w:id="10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اللسان  : ( خبث ) ،  وانظر : النهاية في غريب الحديث : ( 2 / 6 )</w:t>
      </w:r>
    </w:p>
  </w:footnote>
  <w:footnote w:id="11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المصباح (  230 )</w:t>
      </w:r>
    </w:p>
  </w:footnote>
  <w:footnote w:id="12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- اللسان ( رعب )</w:t>
      </w:r>
    </w:p>
  </w:footnote>
  <w:footnote w:id="13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 xml:space="preserve">- من القراء السبعة وهو : عبد الله بن عامر الشامي اليحصبي توفي بدمشق سنة 118 هـ ( معرفة القراء الكبار ( 1 / 67 )  </w:t>
      </w:r>
    </w:p>
  </w:footnote>
  <w:footnote w:id="14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من القراء العشرة وهو: أبو جعفر المدني وكان إمام أهل المدينة توفي 128 هـ (  معرفة القراء الكبار : 1 / 59 )</w:t>
      </w:r>
    </w:p>
  </w:footnote>
  <w:footnote w:id="15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من القراء العشرة  وهو : أبو محمد يعقوب بن إسحاق بن يزيد الحضرمي توفي سنة 205 هـ        ( معرفة القراء الكبار : 1 / 130 )</w:t>
      </w:r>
    </w:p>
  </w:footnote>
  <w:footnote w:id="16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- المقتبس من اللهجات العربية والقرآنية ( 76  )</w:t>
      </w:r>
    </w:p>
  </w:footnote>
  <w:footnote w:id="17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المصباح  ( 276 )</w:t>
      </w:r>
    </w:p>
  </w:footnote>
  <w:footnote w:id="18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نوادر أبو زي</w:t>
      </w:r>
      <w:r w:rsidR="00274DB0" w:rsidRPr="00B5766C">
        <w:rPr>
          <w:rFonts w:ascii="Tahoma" w:hAnsi="Tahoma" w:cs="Tahoma" w:hint="eastAsia"/>
          <w:rtl/>
          <w:lang/>
        </w:rPr>
        <w:t>د</w:t>
      </w:r>
      <w:r w:rsidR="00274DB0" w:rsidRPr="00B5766C">
        <w:rPr>
          <w:rFonts w:ascii="Tahoma" w:hAnsi="Tahoma" w:cs="Tahoma" w:hint="cs"/>
          <w:rtl/>
          <w:lang/>
        </w:rPr>
        <w:t xml:space="preserve"> : ( 85 )</w:t>
      </w:r>
    </w:p>
  </w:footnote>
  <w:footnote w:id="19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إصلاح المنطق ( 95 ، 96 )</w:t>
      </w:r>
    </w:p>
  </w:footnote>
  <w:footnote w:id="20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المصباح  ( 373 )</w:t>
      </w:r>
    </w:p>
  </w:footnote>
  <w:footnote w:id="21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المصباح ( 411 )</w:t>
      </w:r>
    </w:p>
  </w:footnote>
  <w:footnote w:id="22">
    <w:p w:rsidR="00970BDD" w:rsidRPr="00B5766C" w:rsidRDefault="00970BDD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البحر  :  (  1/218 )</w:t>
      </w:r>
    </w:p>
  </w:footnote>
  <w:footnote w:id="23">
    <w:p w:rsidR="00274DB0" w:rsidRPr="00B5766C" w:rsidRDefault="00274DB0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>)  هو : يحيى بن وثاب الأسدي الكوفي القارئ العابد توفي سنة 103 هـ   ( معرفة القراء الكبار :   1/ 62 )</w:t>
      </w:r>
    </w:p>
  </w:footnote>
  <w:footnote w:id="24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البحر  : ( 4/ 406 )</w:t>
      </w:r>
    </w:p>
  </w:footnote>
  <w:footnote w:id="25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المزهر  ( 2 / 275  )</w:t>
      </w:r>
    </w:p>
  </w:footnote>
  <w:footnote w:id="26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274DB0" w:rsidRPr="00B5766C">
        <w:rPr>
          <w:rFonts w:ascii="Tahoma" w:hAnsi="Tahoma" w:cs="Tahoma" w:hint="cs"/>
          <w:rtl/>
          <w:lang/>
        </w:rPr>
        <w:t>المحتسب  ( 1/ 261  )</w:t>
      </w:r>
    </w:p>
  </w:footnote>
  <w:footnote w:id="27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هو أبو القاسم عبد الرحمن بن إسحاق البغدادي النحوي صاحب التصانيف منها كتاب الإيضاح  و الجمل توفي سنة 304 هـ والزجاجي نسبة إلى العلامة أبي إسحاق الزجاج ( سير أعلام النبلاء 15 / 75 )</w:t>
      </w:r>
    </w:p>
  </w:footnote>
  <w:footnote w:id="28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مجالس العلماء للزجاجي  (  251  )</w:t>
      </w:r>
    </w:p>
  </w:footnote>
  <w:footnote w:id="29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هو : الإمام الحسن  البصري  توفي سنة 110 هـ ، وقراءته من القراءات الأربعة الشواذ انظر الإتحاف : (  9 ) وتنظر ترجمته في (  معرفة القراء : 1 / 65 )</w:t>
      </w:r>
    </w:p>
  </w:footnote>
  <w:footnote w:id="30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المصباح ( 415 )</w:t>
      </w:r>
    </w:p>
  </w:footnote>
  <w:footnote w:id="31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>)</w:t>
      </w:r>
      <w:r w:rsidR="00B5766C" w:rsidRPr="00B5766C">
        <w:rPr>
          <w:rFonts w:ascii="Tahoma" w:hAnsi="Tahoma" w:cs="Tahoma" w:hint="cs"/>
          <w:rtl/>
          <w:lang/>
        </w:rPr>
        <w:t xml:space="preserve">اللسان  (عضد) </w:t>
      </w:r>
      <w:r w:rsidRPr="00B5766C">
        <w:rPr>
          <w:rFonts w:ascii="Tahoma" w:hAnsi="Tahoma" w:cs="Tahoma" w:hint="cs"/>
          <w:rtl/>
          <w:lang/>
        </w:rPr>
        <w:t xml:space="preserve"> </w:t>
      </w:r>
    </w:p>
  </w:footnote>
  <w:footnote w:id="32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هو : أبو حات</w:t>
      </w:r>
      <w:r w:rsidR="00B5766C" w:rsidRPr="00B5766C">
        <w:rPr>
          <w:rFonts w:ascii="Tahoma" w:hAnsi="Tahoma" w:cs="Tahoma" w:hint="eastAsia"/>
          <w:rtl/>
          <w:lang/>
        </w:rPr>
        <w:t>م</w:t>
      </w:r>
      <w:r w:rsidR="00B5766C" w:rsidRPr="00B5766C">
        <w:rPr>
          <w:rFonts w:ascii="Tahoma" w:hAnsi="Tahoma" w:cs="Tahoma" w:hint="cs"/>
          <w:rtl/>
          <w:lang/>
        </w:rPr>
        <w:t xml:space="preserve"> سهل بن محمد بن عثمان السجستاني البصري اللغوي توفي سنة 250 هـ من مصنفاته إعراب القرآن ( هدية العارفين : 1 / 411  )</w:t>
      </w:r>
    </w:p>
  </w:footnote>
  <w:footnote w:id="33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المذكر والمؤنث لابن الأنبارى (  277 )</w:t>
      </w:r>
    </w:p>
  </w:footnote>
  <w:footnote w:id="34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المذكر والمؤنث (  293 ) .</w:t>
      </w:r>
    </w:p>
  </w:footnote>
  <w:footnote w:id="35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البحر المحيط  (  6/137 )</w:t>
      </w:r>
    </w:p>
  </w:footnote>
  <w:footnote w:id="36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- الإتحاف   ( 368 , 436  )</w:t>
      </w:r>
    </w:p>
  </w:footnote>
  <w:footnote w:id="37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اللهجات العربية في التراث (  1/243 )</w:t>
      </w:r>
    </w:p>
  </w:footnote>
  <w:footnote w:id="38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المصباح ( 432 )</w:t>
      </w:r>
    </w:p>
  </w:footnote>
  <w:footnote w:id="39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 xml:space="preserve">اللسان ( عنق  ) </w:t>
      </w:r>
    </w:p>
  </w:footnote>
  <w:footnote w:id="40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المصباح  ( 281 -  282 )</w:t>
      </w:r>
    </w:p>
  </w:footnote>
  <w:footnote w:id="41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إصلاح المنطق ( 132 )</w:t>
      </w:r>
    </w:p>
  </w:footnote>
  <w:footnote w:id="42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- شواذ القرآن لابن خالويه  ( 26 )</w:t>
      </w:r>
    </w:p>
  </w:footnote>
  <w:footnote w:id="43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 لبحر المحيط  ( 3/ 377  )</w:t>
      </w:r>
    </w:p>
  </w:footnote>
  <w:footnote w:id="44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اللهجات العربية في التراث  ( 1 / 251 )</w:t>
      </w:r>
    </w:p>
  </w:footnote>
  <w:footnote w:id="45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المصباح ( 596 )</w:t>
      </w:r>
    </w:p>
  </w:footnote>
  <w:footnote w:id="46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المخصص ( 3/271)</w:t>
      </w:r>
    </w:p>
  </w:footnote>
  <w:footnote w:id="47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إصلاح المنطق ( 218 )</w:t>
      </w:r>
    </w:p>
  </w:footnote>
  <w:footnote w:id="48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المخصص (3/271)</w:t>
      </w:r>
    </w:p>
  </w:footnote>
  <w:footnote w:id="49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 xml:space="preserve">اللغات في القرآن لابن حسنون ( 43 ) </w:t>
      </w:r>
    </w:p>
  </w:footnote>
  <w:footnote w:id="50">
    <w:p w:rsidR="001E7598" w:rsidRPr="00B5766C" w:rsidRDefault="001E7598" w:rsidP="00B5766C">
      <w:pPr>
        <w:pStyle w:val="a3"/>
        <w:widowControl w:val="0"/>
        <w:autoSpaceDE w:val="0"/>
        <w:autoSpaceDN w:val="0"/>
        <w:adjustRightInd w:val="0"/>
        <w:rPr>
          <w:rFonts w:ascii="Tahoma" w:hAnsi="Tahoma" w:cs="Tahoma"/>
          <w:rtl/>
          <w:lang/>
        </w:rPr>
      </w:pPr>
      <w:r w:rsidRPr="00B5766C">
        <w:rPr>
          <w:rFonts w:ascii="Tahoma" w:hAnsi="Tahoma" w:cs="Tahoma" w:hint="cs"/>
          <w:rtl/>
          <w:lang/>
        </w:rPr>
        <w:t>(</w:t>
      </w:r>
      <w:r w:rsidRPr="00B5766C">
        <w:rPr>
          <w:rFonts w:ascii="Tahoma" w:hAnsi="Tahoma" w:cs="Tahoma"/>
          <w:rtl/>
          <w:lang/>
        </w:rPr>
        <w:footnoteRef/>
      </w:r>
      <w:r w:rsidRPr="00B5766C">
        <w:rPr>
          <w:rFonts w:ascii="Tahoma" w:hAnsi="Tahoma" w:cs="Tahoma" w:hint="cs"/>
          <w:rtl/>
          <w:lang/>
        </w:rPr>
        <w:t xml:space="preserve">)  </w:t>
      </w:r>
      <w:r w:rsidR="00B5766C" w:rsidRPr="00B5766C">
        <w:rPr>
          <w:rFonts w:ascii="Tahoma" w:hAnsi="Tahoma" w:cs="Tahoma" w:hint="cs"/>
          <w:rtl/>
          <w:lang/>
        </w:rPr>
        <w:t>اللهجات في كتاب سيبويه  لصالحة راشد غنيم   ( 102 )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97CA1B8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>
    <w:nsid w:val="5AEA00C3"/>
    <w:multiLevelType w:val="hybridMultilevel"/>
    <w:tmpl w:val="0B482E50"/>
    <w:lvl w:ilvl="0" w:tplc="9CD415F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0BDD"/>
    <w:rsid w:val="001E7598"/>
    <w:rsid w:val="00274DB0"/>
    <w:rsid w:val="003960EB"/>
    <w:rsid w:val="004E7440"/>
    <w:rsid w:val="00573DF5"/>
    <w:rsid w:val="00666B7E"/>
    <w:rsid w:val="00885A23"/>
    <w:rsid w:val="00970BDD"/>
    <w:rsid w:val="00B5766C"/>
    <w:rsid w:val="00C1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2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66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766C"/>
    <w:pPr>
      <w:suppressAutoHyphens/>
      <w:bidi w:val="0"/>
      <w:spacing w:before="240" w:after="60" w:line="240" w:lineRule="auto"/>
      <w:jc w:val="center"/>
      <w:outlineLvl w:val="7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rsid w:val="00970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semiHidden/>
    <w:rsid w:val="00970B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semiHidden/>
    <w:rsid w:val="00970BDD"/>
    <w:rPr>
      <w:vertAlign w:val="superscript"/>
    </w:rPr>
  </w:style>
  <w:style w:type="paragraph" w:styleId="a5">
    <w:name w:val="Body Text"/>
    <w:basedOn w:val="a"/>
    <w:link w:val="Char0"/>
    <w:semiHidden/>
    <w:rsid w:val="00970BDD"/>
    <w:pPr>
      <w:spacing w:after="0" w:line="360" w:lineRule="auto"/>
      <w:jc w:val="lowKashida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Char0">
    <w:name w:val="نص أساسي Char"/>
    <w:basedOn w:val="a0"/>
    <w:link w:val="a5"/>
    <w:semiHidden/>
    <w:rsid w:val="00970BDD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Affiliation">
    <w:name w:val="Affiliation"/>
    <w:rsid w:val="00970BDD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8Char">
    <w:name w:val="عنوان 8 Char"/>
    <w:basedOn w:val="a0"/>
    <w:link w:val="8"/>
    <w:uiPriority w:val="9"/>
    <w:semiHidden/>
    <w:rsid w:val="00B5766C"/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666B7E"/>
    <w:pPr>
      <w:ind w:left="720"/>
      <w:contextualSpacing/>
    </w:pPr>
    <w:rPr>
      <w:rFonts w:ascii="Calibri" w:eastAsia="Times New Roman" w:hAnsi="Calibri" w:cs="Arial"/>
    </w:rPr>
  </w:style>
  <w:style w:type="character" w:customStyle="1" w:styleId="1Char">
    <w:name w:val="عنوان 1 Char"/>
    <w:basedOn w:val="a0"/>
    <w:link w:val="1"/>
    <w:uiPriority w:val="9"/>
    <w:rsid w:val="0066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us.google.com/u/0/me?tab=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</dc:creator>
  <cp:keywords/>
  <dc:description/>
  <cp:lastModifiedBy>add</cp:lastModifiedBy>
  <cp:revision>5</cp:revision>
  <dcterms:created xsi:type="dcterms:W3CDTF">2013-05-23T10:14:00Z</dcterms:created>
  <dcterms:modified xsi:type="dcterms:W3CDTF">2013-05-24T10:22:00Z</dcterms:modified>
</cp:coreProperties>
</file>