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A9" w:rsidRDefault="007E69A9" w:rsidP="004B3A23">
      <w:pPr>
        <w:spacing w:before="120" w:after="120" w:line="360" w:lineRule="auto"/>
        <w:jc w:val="center"/>
        <w:rPr>
          <w:b/>
          <w:bCs/>
          <w:sz w:val="52"/>
          <w:szCs w:val="52"/>
          <w:rtl/>
          <w:lang w:eastAsia="zh-CN"/>
        </w:rPr>
      </w:pPr>
      <w:r>
        <w:rPr>
          <w:rFonts w:hint="cs"/>
          <w:b/>
          <w:bCs/>
          <w:sz w:val="52"/>
          <w:szCs w:val="52"/>
          <w:rtl/>
          <w:lang w:eastAsia="zh-CN"/>
        </w:rPr>
        <w:t>الاستشهاد بالشعر</w:t>
      </w:r>
      <w:r w:rsidR="00240763">
        <w:rPr>
          <w:rFonts w:hint="cs"/>
          <w:b/>
          <w:bCs/>
          <w:sz w:val="52"/>
          <w:szCs w:val="52"/>
          <w:rtl/>
          <w:lang w:eastAsia="zh-CN"/>
        </w:rPr>
        <w:t>(1)</w:t>
      </w:r>
    </w:p>
    <w:p w:rsidR="007B7509" w:rsidRPr="007B7509" w:rsidRDefault="007B7509" w:rsidP="004B3A23">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Pr>
          <w:rFonts w:ascii="Arial" w:eastAsia="MS Mincho" w:hAnsi="Arial" w:cs="Arial" w:hint="cs"/>
          <w:color w:val="222222"/>
          <w:sz w:val="40"/>
          <w:szCs w:val="40"/>
          <w:rtl/>
        </w:rPr>
        <w:t xml:space="preserve">تقنية الشاهد في </w:t>
      </w:r>
      <w:r w:rsidRPr="007B7509">
        <w:rPr>
          <w:rFonts w:ascii="Arial" w:eastAsia="MS Mincho" w:hAnsi="Arial" w:cs="Arial" w:hint="cs"/>
          <w:color w:val="222222"/>
          <w:sz w:val="40"/>
          <w:szCs w:val="40"/>
          <w:rtl/>
        </w:rPr>
        <w:t>المعاجم اللغوية)</w:t>
      </w:r>
    </w:p>
    <w:p w:rsidR="005C4EA9" w:rsidRPr="007E69A9" w:rsidRDefault="004B3A23" w:rsidP="005C4EA9">
      <w:pPr>
        <w:pStyle w:val="Author"/>
        <w:bidi/>
        <w:rPr>
          <w:rFonts w:eastAsia="Times New Roman"/>
          <w:b/>
          <w:bCs/>
          <w:sz w:val="28"/>
          <w:szCs w:val="28"/>
          <w:rtl/>
          <w:lang w:bidi="ar-EG"/>
        </w:rPr>
      </w:pPr>
      <w:r w:rsidRPr="007E69A9">
        <w:rPr>
          <w:rFonts w:hint="cs"/>
          <w:b/>
          <w:bCs/>
          <w:i/>
          <w:iCs/>
          <w:sz w:val="28"/>
          <w:szCs w:val="28"/>
          <w:rtl/>
        </w:rPr>
        <w:lastRenderedPageBreak/>
        <w:t xml:space="preserve">د/ </w:t>
      </w:r>
      <w:r w:rsidRPr="007E69A9">
        <w:rPr>
          <w:rFonts w:hint="cs"/>
          <w:b/>
          <w:bCs/>
          <w:i/>
          <w:iCs/>
          <w:sz w:val="28"/>
          <w:szCs w:val="28"/>
          <w:rtl/>
          <w:lang w:bidi="ar-EG"/>
        </w:rPr>
        <w:t>كامل أنور سعيد</w:t>
      </w:r>
    </w:p>
    <w:p w:rsidR="004B3A23" w:rsidRDefault="004B3A23" w:rsidP="004B3A23">
      <w:pPr>
        <w:pStyle w:val="Affiliation"/>
        <w:bidi/>
        <w:rPr>
          <w:rFonts w:eastAsia="Times New Roman"/>
        </w:rPr>
      </w:pPr>
      <w:r>
        <w:rPr>
          <w:rFonts w:hint="cs"/>
          <w:i/>
          <w:iCs/>
          <w:rtl/>
        </w:rPr>
        <w:t>قسم اللغة العربية</w:t>
      </w:r>
    </w:p>
    <w:p w:rsidR="004B3A23" w:rsidRDefault="004B3A23" w:rsidP="004B3A23">
      <w:pPr>
        <w:pStyle w:val="Affiliation"/>
        <w:bidi/>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B3A23">
      <w:pPr>
        <w:pStyle w:val="Affiliation"/>
        <w:bidi/>
        <w:rPr>
          <w:rtl/>
          <w:lang w:bidi="ar-EG"/>
        </w:rPr>
      </w:pPr>
      <w:r>
        <w:rPr>
          <w:rFonts w:hint="cs"/>
          <w:rtl/>
        </w:rPr>
        <w:t>شاه علم - ماليزيا</w:t>
      </w:r>
    </w:p>
    <w:p w:rsidR="004B3A23" w:rsidRDefault="004B3A23" w:rsidP="004B3A23">
      <w:pPr>
        <w:pStyle w:val="Affiliation"/>
        <w:bidi/>
        <w:jc w:val="both"/>
        <w:rPr>
          <w:i/>
          <w:iCs/>
          <w:rtl/>
        </w:rPr>
      </w:pPr>
    </w:p>
    <w:p w:rsidR="00623CEB" w:rsidRPr="001D2450" w:rsidRDefault="006377B4" w:rsidP="00623CEB">
      <w:pPr>
        <w:pStyle w:val="Affiliation"/>
        <w:bidi/>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623CEB">
      <w:pPr>
        <w:pStyle w:val="Affiliation"/>
        <w:bidi/>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623CEB">
      <w:pPr>
        <w:pStyle w:val="Affiliation"/>
        <w:bidi/>
        <w:rPr>
          <w:b/>
          <w:bCs/>
          <w:sz w:val="22"/>
          <w:szCs w:val="22"/>
          <w:rtl/>
          <w:lang w:bidi="ar-EG"/>
        </w:rPr>
      </w:pPr>
    </w:p>
    <w:p w:rsidR="00972672" w:rsidRDefault="00972672" w:rsidP="00972672">
      <w:pPr>
        <w:pStyle w:val="Affiliation"/>
        <w:bidi/>
        <w:rPr>
          <w:b/>
          <w:bCs/>
          <w:sz w:val="22"/>
          <w:szCs w:val="22"/>
          <w:rtl/>
          <w:lang w:bidi="ar-EG"/>
        </w:rPr>
      </w:pPr>
    </w:p>
    <w:p w:rsidR="00972672" w:rsidRDefault="00972672" w:rsidP="00972672">
      <w:pPr>
        <w:pStyle w:val="Affiliation"/>
        <w:bidi/>
        <w:rPr>
          <w:b/>
          <w:bCs/>
          <w:sz w:val="22"/>
          <w:szCs w:val="22"/>
          <w:rtl/>
          <w:lang w:bidi="ar-EG"/>
        </w:rPr>
      </w:pPr>
    </w:p>
    <w:p w:rsidR="004B3A23" w:rsidRDefault="00623CEB" w:rsidP="00972672">
      <w:pPr>
        <w:pStyle w:val="Affiliation"/>
        <w:bidi/>
        <w:rPr>
          <w:b/>
          <w:bCs/>
          <w:sz w:val="22"/>
          <w:szCs w:val="22"/>
          <w:rtl/>
          <w:lang w:bidi="ar-EG"/>
        </w:rPr>
      </w:pPr>
      <w:r>
        <w:rPr>
          <w:rFonts w:hint="cs"/>
          <w:b/>
          <w:bCs/>
          <w:sz w:val="22"/>
          <w:szCs w:val="22"/>
          <w:rtl/>
          <w:lang w:bidi="ar-EG"/>
        </w:rPr>
        <w:t xml:space="preserve"> </w:t>
      </w:r>
    </w:p>
    <w:p w:rsidR="00972672" w:rsidRDefault="00972672" w:rsidP="00623CEB">
      <w:pPr>
        <w:suppressAutoHyphens/>
        <w:ind w:firstLine="567"/>
        <w:jc w:val="both"/>
        <w:rPr>
          <w:b/>
          <w:bCs/>
          <w:sz w:val="22"/>
          <w:szCs w:val="22"/>
          <w:rtl/>
          <w:lang w:eastAsia="zh-CN"/>
        </w:rPr>
      </w:pPr>
    </w:p>
    <w:p w:rsidR="0036688B" w:rsidRDefault="00623CEB" w:rsidP="00623CEB">
      <w:pPr>
        <w:suppressAutoHyphens/>
        <w:ind w:firstLine="567"/>
        <w:jc w:val="both"/>
        <w:rPr>
          <w:b/>
          <w:bCs/>
          <w:sz w:val="22"/>
          <w:szCs w:val="22"/>
          <w:rtl/>
          <w:lang w:eastAsia="zh-CN"/>
        </w:rPr>
      </w:pPr>
      <w:r w:rsidRPr="0036688B">
        <w:rPr>
          <w:rFonts w:hint="cs"/>
          <w:b/>
          <w:bCs/>
          <w:sz w:val="22"/>
          <w:szCs w:val="22"/>
          <w:rtl/>
          <w:lang w:eastAsia="zh-CN"/>
        </w:rPr>
        <w:t>الخلاصة : هذا البحث يوضح موقف كل من اللغويين وال</w:t>
      </w:r>
      <w:r w:rsidR="004C5834">
        <w:rPr>
          <w:rFonts w:hint="cs"/>
          <w:b/>
          <w:bCs/>
          <w:sz w:val="22"/>
          <w:szCs w:val="22"/>
          <w:rtl/>
          <w:lang w:eastAsia="zh-CN"/>
        </w:rPr>
        <w:t>نحاة من الاستشهاد بالشاهد الشعري</w:t>
      </w:r>
      <w:r w:rsidR="0036688B" w:rsidRPr="0036688B">
        <w:rPr>
          <w:rFonts w:hint="cs"/>
          <w:b/>
          <w:bCs/>
          <w:sz w:val="22"/>
          <w:szCs w:val="22"/>
          <w:rtl/>
          <w:lang w:eastAsia="zh-CN"/>
        </w:rPr>
        <w:t>، وه</w:t>
      </w:r>
      <w:r w:rsidR="004C5834">
        <w:rPr>
          <w:rFonts w:hint="cs"/>
          <w:b/>
          <w:bCs/>
          <w:sz w:val="22"/>
          <w:szCs w:val="22"/>
          <w:rtl/>
          <w:lang w:eastAsia="zh-CN"/>
        </w:rPr>
        <w:t>ل يختلف الاستشهاد بالشعر</w:t>
      </w:r>
      <w:r w:rsidR="0036688B" w:rsidRPr="0036688B">
        <w:rPr>
          <w:rFonts w:hint="cs"/>
          <w:b/>
          <w:bCs/>
          <w:sz w:val="22"/>
          <w:szCs w:val="22"/>
          <w:rtl/>
          <w:lang w:eastAsia="zh-CN"/>
        </w:rPr>
        <w:t xml:space="preserve"> على القاعدة النحوية عن الاستشهاد به على المعنى؟</w:t>
      </w:r>
    </w:p>
    <w:p w:rsidR="001D2450" w:rsidRDefault="001D2450" w:rsidP="00623CEB">
      <w:pPr>
        <w:suppressAutoHyphens/>
        <w:ind w:firstLine="567"/>
        <w:jc w:val="both"/>
        <w:rPr>
          <w:b/>
          <w:bCs/>
          <w:sz w:val="22"/>
          <w:szCs w:val="22"/>
          <w:rtl/>
          <w:lang w:eastAsia="zh-CN"/>
        </w:rPr>
      </w:pPr>
    </w:p>
    <w:p w:rsidR="0036688B" w:rsidRDefault="0036688B" w:rsidP="00623CEB">
      <w:pPr>
        <w:suppressAutoHyphens/>
        <w:ind w:firstLine="567"/>
        <w:jc w:val="both"/>
        <w:rPr>
          <w:b/>
          <w:bCs/>
          <w:sz w:val="22"/>
          <w:szCs w:val="22"/>
          <w:rtl/>
          <w:lang w:eastAsia="zh-CN"/>
        </w:rPr>
      </w:pPr>
      <w:r w:rsidRPr="0036688B">
        <w:rPr>
          <w:rFonts w:hint="cs"/>
          <w:b/>
          <w:bCs/>
          <w:sz w:val="22"/>
          <w:szCs w:val="22"/>
          <w:rtl/>
          <w:lang w:eastAsia="zh-CN"/>
        </w:rPr>
        <w:t>الكلم</w:t>
      </w:r>
      <w:r w:rsidR="007E69A9">
        <w:rPr>
          <w:rFonts w:hint="cs"/>
          <w:b/>
          <w:bCs/>
          <w:sz w:val="22"/>
          <w:szCs w:val="22"/>
          <w:rtl/>
          <w:lang w:eastAsia="zh-CN"/>
        </w:rPr>
        <w:t>ات المفتاحية: ا</w:t>
      </w:r>
      <w:r w:rsidRPr="0036688B">
        <w:rPr>
          <w:rFonts w:hint="cs"/>
          <w:b/>
          <w:bCs/>
          <w:sz w:val="22"/>
          <w:szCs w:val="22"/>
          <w:rtl/>
          <w:lang w:eastAsia="zh-CN"/>
        </w:rPr>
        <w:t xml:space="preserve">لاستشهاد </w:t>
      </w:r>
      <w:r w:rsidRPr="0036688B">
        <w:rPr>
          <w:b/>
          <w:bCs/>
          <w:sz w:val="22"/>
          <w:szCs w:val="22"/>
          <w:rtl/>
          <w:lang w:eastAsia="zh-CN"/>
        </w:rPr>
        <w:t>–</w:t>
      </w:r>
      <w:r w:rsidRPr="0036688B">
        <w:rPr>
          <w:rFonts w:hint="cs"/>
          <w:b/>
          <w:bCs/>
          <w:sz w:val="22"/>
          <w:szCs w:val="22"/>
          <w:rtl/>
          <w:lang w:eastAsia="zh-CN"/>
        </w:rPr>
        <w:t xml:space="preserve"> الاحتجاج </w:t>
      </w:r>
      <w:r w:rsidRPr="0036688B">
        <w:rPr>
          <w:b/>
          <w:bCs/>
          <w:sz w:val="22"/>
          <w:szCs w:val="22"/>
          <w:rtl/>
          <w:lang w:eastAsia="zh-CN"/>
        </w:rPr>
        <w:t>–</w:t>
      </w:r>
      <w:r w:rsidRPr="0036688B">
        <w:rPr>
          <w:rFonts w:hint="cs"/>
          <w:b/>
          <w:bCs/>
          <w:sz w:val="22"/>
          <w:szCs w:val="22"/>
          <w:rtl/>
          <w:lang w:eastAsia="zh-CN"/>
        </w:rPr>
        <w:t xml:space="preserve"> </w:t>
      </w:r>
      <w:r w:rsidR="007E69A9">
        <w:rPr>
          <w:rFonts w:hint="cs"/>
          <w:b/>
          <w:bCs/>
          <w:sz w:val="22"/>
          <w:szCs w:val="22"/>
          <w:rtl/>
          <w:lang w:eastAsia="zh-CN"/>
        </w:rPr>
        <w:t xml:space="preserve">الشعر </w:t>
      </w:r>
      <w:r w:rsidR="007E69A9">
        <w:rPr>
          <w:b/>
          <w:bCs/>
          <w:sz w:val="22"/>
          <w:szCs w:val="22"/>
          <w:rtl/>
          <w:lang w:eastAsia="zh-CN"/>
        </w:rPr>
        <w:t>–</w:t>
      </w:r>
      <w:r w:rsidR="007E69A9">
        <w:rPr>
          <w:rFonts w:hint="cs"/>
          <w:b/>
          <w:bCs/>
          <w:sz w:val="22"/>
          <w:szCs w:val="22"/>
          <w:rtl/>
          <w:lang w:eastAsia="zh-CN"/>
        </w:rPr>
        <w:t xml:space="preserve"> معايير الاحتجاج - </w:t>
      </w:r>
      <w:r w:rsidRPr="0036688B">
        <w:rPr>
          <w:rFonts w:hint="cs"/>
          <w:b/>
          <w:bCs/>
          <w:sz w:val="22"/>
          <w:szCs w:val="22"/>
          <w:rtl/>
          <w:lang w:eastAsia="zh-CN"/>
        </w:rPr>
        <w:t xml:space="preserve">المعاجم </w:t>
      </w:r>
      <w:r>
        <w:rPr>
          <w:b/>
          <w:bCs/>
          <w:sz w:val="22"/>
          <w:szCs w:val="22"/>
          <w:rtl/>
          <w:lang w:eastAsia="zh-CN"/>
        </w:rPr>
        <w:t>–</w:t>
      </w:r>
      <w:r w:rsidRPr="0036688B">
        <w:rPr>
          <w:rFonts w:hint="cs"/>
          <w:b/>
          <w:bCs/>
          <w:sz w:val="22"/>
          <w:szCs w:val="22"/>
          <w:rtl/>
          <w:lang w:eastAsia="zh-CN"/>
        </w:rPr>
        <w:t xml:space="preserve"> </w:t>
      </w:r>
      <w:r>
        <w:rPr>
          <w:rFonts w:hint="cs"/>
          <w:b/>
          <w:bCs/>
          <w:sz w:val="22"/>
          <w:szCs w:val="22"/>
          <w:rtl/>
          <w:lang w:eastAsia="zh-CN"/>
        </w:rPr>
        <w:t xml:space="preserve">اللغويون </w:t>
      </w:r>
      <w:r>
        <w:rPr>
          <w:b/>
          <w:bCs/>
          <w:sz w:val="22"/>
          <w:szCs w:val="22"/>
          <w:rtl/>
          <w:lang w:eastAsia="zh-CN"/>
        </w:rPr>
        <w:t>–</w:t>
      </w:r>
      <w:r>
        <w:rPr>
          <w:rFonts w:hint="cs"/>
          <w:b/>
          <w:bCs/>
          <w:sz w:val="22"/>
          <w:szCs w:val="22"/>
          <w:rtl/>
          <w:lang w:eastAsia="zh-CN"/>
        </w:rPr>
        <w:t xml:space="preserve"> النحاة.</w:t>
      </w:r>
    </w:p>
    <w:p w:rsidR="005C61A2" w:rsidRDefault="005C61A2" w:rsidP="00623CEB">
      <w:pPr>
        <w:suppressAutoHyphens/>
        <w:ind w:firstLine="567"/>
        <w:jc w:val="both"/>
        <w:rPr>
          <w:b/>
          <w:bCs/>
          <w:sz w:val="22"/>
          <w:szCs w:val="22"/>
          <w:rtl/>
          <w:lang w:eastAsia="zh-CN"/>
        </w:rPr>
      </w:pPr>
    </w:p>
    <w:p w:rsidR="0036688B" w:rsidRDefault="005C61A2" w:rsidP="005C61A2">
      <w:pPr>
        <w:suppressAutoHyphens/>
        <w:jc w:val="center"/>
        <w:rPr>
          <w:b/>
          <w:bCs/>
          <w:sz w:val="32"/>
          <w:szCs w:val="32"/>
          <w:rtl/>
          <w:lang w:eastAsia="zh-CN" w:bidi="ar-EG"/>
        </w:rPr>
      </w:pPr>
      <w:r>
        <w:rPr>
          <w:b/>
          <w:bCs/>
          <w:sz w:val="32"/>
          <w:szCs w:val="32"/>
          <w:lang w:eastAsia="zh-CN" w:bidi="ar-EG"/>
        </w:rPr>
        <w:t>I</w:t>
      </w:r>
      <w:r>
        <w:rPr>
          <w:rFonts w:hint="cs"/>
          <w:b/>
          <w:bCs/>
          <w:sz w:val="32"/>
          <w:szCs w:val="32"/>
          <w:rtl/>
          <w:lang w:eastAsia="zh-CN" w:bidi="ar-EG"/>
        </w:rPr>
        <w:t>.</w:t>
      </w:r>
      <w:r w:rsidR="0036688B" w:rsidRPr="005C61A2">
        <w:rPr>
          <w:rFonts w:hint="cs"/>
          <w:b/>
          <w:bCs/>
          <w:sz w:val="28"/>
          <w:szCs w:val="28"/>
          <w:rtl/>
          <w:lang w:eastAsia="zh-CN" w:bidi="ar-EG"/>
        </w:rPr>
        <w:t>المقدمة</w:t>
      </w:r>
    </w:p>
    <w:p w:rsidR="005C61A2" w:rsidRPr="005C61A2" w:rsidRDefault="005C61A2" w:rsidP="005C61A2">
      <w:pPr>
        <w:suppressAutoHyphens/>
        <w:jc w:val="center"/>
        <w:rPr>
          <w:b/>
          <w:bCs/>
          <w:sz w:val="32"/>
          <w:szCs w:val="32"/>
          <w:rtl/>
          <w:lang w:eastAsia="zh-CN" w:bidi="ar-EG"/>
        </w:rPr>
      </w:pPr>
    </w:p>
    <w:p w:rsidR="0036688B" w:rsidRDefault="002D3D60" w:rsidP="005C61A2">
      <w:pPr>
        <w:suppressAutoHyphens/>
        <w:ind w:firstLine="567"/>
        <w:jc w:val="both"/>
        <w:rPr>
          <w:b/>
          <w:bCs/>
          <w:sz w:val="22"/>
          <w:szCs w:val="22"/>
          <w:rtl/>
          <w:lang w:eastAsia="zh-CN"/>
        </w:rPr>
      </w:pPr>
      <w:r>
        <w:rPr>
          <w:rFonts w:hint="cs"/>
          <w:b/>
          <w:bCs/>
          <w:sz w:val="22"/>
          <w:szCs w:val="22"/>
          <w:rtl/>
          <w:lang w:eastAsia="zh-CN"/>
        </w:rPr>
        <w:t>لقد</w:t>
      </w:r>
      <w:r w:rsidRPr="002D3D60">
        <w:rPr>
          <w:rFonts w:hint="cs"/>
          <w:b/>
          <w:bCs/>
          <w:sz w:val="22"/>
          <w:szCs w:val="22"/>
          <w:rtl/>
          <w:lang w:eastAsia="zh-CN"/>
        </w:rPr>
        <w:t xml:space="preserve"> لاقى الشعر اهتمامًا كبيرًا من اللغويين، واعتبروه الدعامة الأولى لهم، حتى لقد تخصصت كلمة الشاهد فيما بعد وأصبحت مقصورة على الش</w:t>
      </w:r>
      <w:r>
        <w:rPr>
          <w:rFonts w:hint="cs"/>
          <w:b/>
          <w:bCs/>
          <w:sz w:val="22"/>
          <w:szCs w:val="22"/>
          <w:rtl/>
          <w:lang w:eastAsia="zh-CN"/>
        </w:rPr>
        <w:t>عر في الأغلب الأعم</w:t>
      </w:r>
      <w:r w:rsidR="005C61A2">
        <w:rPr>
          <w:rFonts w:hint="cs"/>
          <w:b/>
          <w:bCs/>
          <w:sz w:val="22"/>
          <w:szCs w:val="22"/>
          <w:rtl/>
          <w:lang w:eastAsia="zh-CN"/>
        </w:rPr>
        <w:t>.</w:t>
      </w:r>
    </w:p>
    <w:p w:rsidR="005C61A2" w:rsidRDefault="005C61A2" w:rsidP="005C61A2">
      <w:pPr>
        <w:suppressAutoHyphens/>
        <w:ind w:firstLine="567"/>
        <w:jc w:val="both"/>
        <w:rPr>
          <w:b/>
          <w:bCs/>
          <w:sz w:val="22"/>
          <w:szCs w:val="22"/>
          <w:rtl/>
          <w:lang w:eastAsia="zh-CN"/>
        </w:rPr>
      </w:pPr>
    </w:p>
    <w:p w:rsidR="005C61A2" w:rsidRPr="005C61A2" w:rsidRDefault="005C61A2" w:rsidP="005C61A2">
      <w:pPr>
        <w:suppressAutoHyphens/>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623CEB" w:rsidRPr="0036688B" w:rsidRDefault="00623CEB" w:rsidP="0036688B">
      <w:pPr>
        <w:suppressAutoHyphens/>
        <w:jc w:val="both"/>
        <w:rPr>
          <w:b/>
          <w:bCs/>
          <w:sz w:val="22"/>
          <w:szCs w:val="22"/>
          <w:rtl/>
          <w:lang w:eastAsia="zh-CN"/>
        </w:rPr>
      </w:pPr>
    </w:p>
    <w:p w:rsidR="002D3D60" w:rsidRPr="002D3D60" w:rsidRDefault="002D3D60" w:rsidP="002D3D60">
      <w:pPr>
        <w:spacing w:beforeLines="60" w:afterLines="60" w:line="360" w:lineRule="auto"/>
        <w:jc w:val="both"/>
        <w:rPr>
          <w:b/>
          <w:bCs/>
          <w:sz w:val="22"/>
          <w:szCs w:val="22"/>
          <w:rtl/>
          <w:lang w:eastAsia="zh-CN"/>
        </w:rPr>
      </w:pPr>
      <w:r w:rsidRPr="002D3D60">
        <w:rPr>
          <w:rFonts w:hint="cs"/>
          <w:b/>
          <w:bCs/>
          <w:sz w:val="22"/>
          <w:szCs w:val="22"/>
          <w:rtl/>
          <w:lang w:eastAsia="zh-CN"/>
        </w:rPr>
        <w:t>معايير الاحتجاج بالشعر</w:t>
      </w:r>
    </w:p>
    <w:p w:rsidR="004C5834" w:rsidRDefault="002D3D60" w:rsidP="004C5834">
      <w:pPr>
        <w:pStyle w:val="BodyText"/>
        <w:spacing w:beforeLines="60" w:afterLines="60" w:line="360" w:lineRule="auto"/>
        <w:ind w:firstLine="720"/>
        <w:jc w:val="both"/>
        <w:rPr>
          <w:b/>
          <w:bCs/>
          <w:sz w:val="22"/>
          <w:szCs w:val="22"/>
          <w:rtl/>
          <w:lang w:eastAsia="zh-CN" w:bidi="ar-EG"/>
        </w:rPr>
      </w:pPr>
      <w:r w:rsidRPr="002D3D60">
        <w:rPr>
          <w:rFonts w:hint="cs"/>
          <w:b/>
          <w:bCs/>
          <w:sz w:val="22"/>
          <w:szCs w:val="22"/>
          <w:rtl/>
          <w:lang w:eastAsia="zh-CN" w:bidi="ar-SA"/>
        </w:rPr>
        <w:t>إن الاحتجاج بالشعر واحد من أبكر صور الدراسات اللغوية، حيث أورد صاحب الكشاف أن عمر بن الخطاب رضي الله عنه، تساءل عن معنى قوله تعالى</w:t>
      </w:r>
      <w:r w:rsidRPr="002D3D60">
        <w:rPr>
          <w:rFonts w:hint="cs"/>
          <w:b/>
          <w:bCs/>
          <w:sz w:val="22"/>
          <w:szCs w:val="22"/>
          <w:rtl/>
          <w:cs/>
          <w:lang w:eastAsia="zh-CN"/>
        </w:rPr>
        <w:t xml:space="preserve">: </w:t>
      </w:r>
      <w:r w:rsidRPr="002D3D60">
        <w:rPr>
          <w:rFonts w:hint="cs"/>
          <w:b/>
          <w:bCs/>
          <w:sz w:val="22"/>
          <w:szCs w:val="22"/>
          <w:lang w:eastAsia="zh-CN" w:bidi="ar-SA"/>
        </w:rPr>
        <w:sym w:font="AGA Arabesque" w:char="F029"/>
      </w:r>
      <w:r w:rsidRPr="002D3D60">
        <w:rPr>
          <w:rFonts w:hint="cs"/>
          <w:b/>
          <w:bCs/>
          <w:sz w:val="22"/>
          <w:szCs w:val="22"/>
          <w:rtl/>
          <w:lang w:eastAsia="zh-CN" w:bidi="ar-SA"/>
        </w:rPr>
        <w:t>أو يأخذهم على تخوِّف</w:t>
      </w:r>
      <w:r w:rsidRPr="002D3D60">
        <w:rPr>
          <w:rFonts w:hint="cs"/>
          <w:b/>
          <w:bCs/>
          <w:sz w:val="22"/>
          <w:szCs w:val="22"/>
          <w:lang w:eastAsia="zh-CN" w:bidi="ar-SA"/>
        </w:rPr>
        <w:t xml:space="preserve"> </w:t>
      </w:r>
      <w:r w:rsidRPr="002D3D60">
        <w:rPr>
          <w:rFonts w:hint="cs"/>
          <w:b/>
          <w:bCs/>
          <w:sz w:val="22"/>
          <w:szCs w:val="22"/>
          <w:lang w:eastAsia="zh-CN" w:bidi="ar-SA"/>
        </w:rPr>
        <w:sym w:font="AGA Arabesque" w:char="F028"/>
      </w:r>
      <w:r w:rsidRPr="002D3D60">
        <w:rPr>
          <w:rFonts w:hint="cs"/>
          <w:b/>
          <w:bCs/>
          <w:sz w:val="22"/>
          <w:szCs w:val="22"/>
          <w:rtl/>
          <w:lang w:eastAsia="zh-CN" w:bidi="ar-SA"/>
        </w:rPr>
        <w:t>؟ فقام شيخ من هذيل فقال</w:t>
      </w:r>
      <w:r w:rsidRPr="002D3D60">
        <w:rPr>
          <w:rFonts w:hint="cs"/>
          <w:b/>
          <w:bCs/>
          <w:sz w:val="22"/>
          <w:szCs w:val="22"/>
          <w:rtl/>
          <w:cs/>
          <w:lang w:eastAsia="zh-CN"/>
        </w:rPr>
        <w:t xml:space="preserve">: </w:t>
      </w:r>
      <w:r w:rsidRPr="002D3D60">
        <w:rPr>
          <w:rFonts w:hint="cs"/>
          <w:b/>
          <w:bCs/>
          <w:sz w:val="22"/>
          <w:szCs w:val="22"/>
          <w:rtl/>
          <w:cs/>
          <w:lang w:eastAsia="zh-CN" w:bidi="ar-SA"/>
        </w:rPr>
        <w:t>هذه لغتنا يا أمير المؤمنين، التخوِّف</w:t>
      </w:r>
      <w:r w:rsidRPr="002D3D60">
        <w:rPr>
          <w:rFonts w:hint="cs"/>
          <w:b/>
          <w:bCs/>
          <w:sz w:val="22"/>
          <w:szCs w:val="22"/>
          <w:rtl/>
          <w:cs/>
          <w:lang w:eastAsia="zh-CN"/>
        </w:rPr>
        <w:t xml:space="preserve">: </w:t>
      </w:r>
      <w:r w:rsidR="00CE01E1">
        <w:rPr>
          <w:rFonts w:hint="cs"/>
          <w:b/>
          <w:bCs/>
          <w:sz w:val="22"/>
          <w:szCs w:val="22"/>
          <w:rtl/>
          <w:cs/>
          <w:lang w:eastAsia="zh-CN" w:bidi="ar-SA"/>
        </w:rPr>
        <w:t>التنقَ</w:t>
      </w:r>
      <w:r w:rsidRPr="002D3D60">
        <w:rPr>
          <w:rFonts w:hint="cs"/>
          <w:b/>
          <w:bCs/>
          <w:sz w:val="22"/>
          <w:szCs w:val="22"/>
          <w:rtl/>
          <w:cs/>
          <w:lang w:eastAsia="zh-CN" w:bidi="ar-SA"/>
        </w:rPr>
        <w:t>ص</w:t>
      </w:r>
      <w:r w:rsidRPr="002D3D60">
        <w:rPr>
          <w:rFonts w:hint="cs"/>
          <w:b/>
          <w:bCs/>
          <w:sz w:val="22"/>
          <w:szCs w:val="22"/>
          <w:rtl/>
          <w:cs/>
          <w:lang w:eastAsia="zh-CN"/>
        </w:rPr>
        <w:t xml:space="preserve">. </w:t>
      </w:r>
      <w:r w:rsidRPr="002D3D60">
        <w:rPr>
          <w:rFonts w:hint="cs"/>
          <w:b/>
          <w:bCs/>
          <w:sz w:val="22"/>
          <w:szCs w:val="22"/>
          <w:rtl/>
          <w:cs/>
          <w:lang w:eastAsia="zh-CN" w:bidi="ar-SA"/>
        </w:rPr>
        <w:t>قال عمر</w:t>
      </w:r>
      <w:r w:rsidRPr="002D3D60">
        <w:rPr>
          <w:rFonts w:hint="cs"/>
          <w:b/>
          <w:bCs/>
          <w:sz w:val="22"/>
          <w:szCs w:val="22"/>
          <w:rtl/>
          <w:cs/>
          <w:lang w:eastAsia="zh-CN"/>
        </w:rPr>
        <w:t xml:space="preserve">: </w:t>
      </w:r>
      <w:r w:rsidRPr="002D3D60">
        <w:rPr>
          <w:rFonts w:hint="cs"/>
          <w:b/>
          <w:bCs/>
          <w:sz w:val="22"/>
          <w:szCs w:val="22"/>
          <w:rtl/>
          <w:cs/>
          <w:lang w:eastAsia="zh-CN" w:bidi="ar-SA"/>
        </w:rPr>
        <w:t>فهل تعرف العرب ذلك في أشعارها؟ قال</w:t>
      </w:r>
      <w:r w:rsidRPr="002D3D60">
        <w:rPr>
          <w:rFonts w:hint="cs"/>
          <w:b/>
          <w:bCs/>
          <w:sz w:val="22"/>
          <w:szCs w:val="22"/>
          <w:rtl/>
          <w:cs/>
          <w:lang w:eastAsia="zh-CN"/>
        </w:rPr>
        <w:t xml:space="preserve">: </w:t>
      </w:r>
      <w:r w:rsidRPr="002D3D60">
        <w:rPr>
          <w:rFonts w:hint="cs"/>
          <w:b/>
          <w:bCs/>
          <w:sz w:val="22"/>
          <w:szCs w:val="22"/>
          <w:rtl/>
          <w:cs/>
          <w:lang w:eastAsia="zh-CN" w:bidi="ar-SA"/>
        </w:rPr>
        <w:t>نعم، قال شاعرنا أبو كبير الهذلي</w:t>
      </w:r>
      <w:r w:rsidRPr="002D3D60">
        <w:rPr>
          <w:rFonts w:hint="cs"/>
          <w:b/>
          <w:bCs/>
          <w:sz w:val="22"/>
          <w:szCs w:val="22"/>
          <w:rtl/>
          <w:cs/>
          <w:lang w:eastAsia="zh-CN"/>
        </w:rPr>
        <w:t>:</w:t>
      </w:r>
    </w:p>
    <w:p w:rsidR="002D3D60" w:rsidRPr="002D3D60" w:rsidRDefault="002D3D60" w:rsidP="004C5834">
      <w:pPr>
        <w:pStyle w:val="BodyText"/>
        <w:spacing w:beforeLines="60" w:afterLines="60" w:line="360" w:lineRule="auto"/>
        <w:ind w:firstLine="720"/>
        <w:jc w:val="both"/>
        <w:rPr>
          <w:b/>
          <w:bCs/>
          <w:sz w:val="22"/>
          <w:szCs w:val="22"/>
          <w:rtl/>
          <w:cs/>
          <w:lang w:eastAsia="zh-CN"/>
        </w:rPr>
      </w:pPr>
      <w:r w:rsidRPr="002D3D60">
        <w:rPr>
          <w:rFonts w:hint="cs"/>
          <w:b/>
          <w:bCs/>
          <w:sz w:val="22"/>
          <w:szCs w:val="22"/>
          <w:rtl/>
          <w:lang w:eastAsia="zh-CN" w:bidi="ar-SA"/>
        </w:rPr>
        <w:t xml:space="preserve">تخوَّف الرحلُ منها تامكا قردَّا           كما تخوَّف عودَ النبعة السَّفَنُ </w:t>
      </w:r>
    </w:p>
    <w:p w:rsidR="007E69A9" w:rsidRDefault="007E69A9" w:rsidP="002D3D60">
      <w:pPr>
        <w:spacing w:before="60" w:after="60" w:line="360" w:lineRule="auto"/>
        <w:ind w:firstLine="720"/>
        <w:jc w:val="both"/>
        <w:rPr>
          <w:b/>
          <w:bCs/>
          <w:sz w:val="22"/>
          <w:szCs w:val="22"/>
          <w:rtl/>
          <w:lang w:eastAsia="zh-CN"/>
        </w:rPr>
      </w:pPr>
    </w:p>
    <w:p w:rsidR="007E69A9" w:rsidRDefault="007E69A9" w:rsidP="002D3D60">
      <w:pPr>
        <w:spacing w:before="60" w:after="60" w:line="360" w:lineRule="auto"/>
        <w:ind w:firstLine="720"/>
        <w:jc w:val="both"/>
        <w:rPr>
          <w:b/>
          <w:bCs/>
          <w:sz w:val="22"/>
          <w:szCs w:val="22"/>
          <w:rtl/>
          <w:lang w:eastAsia="zh-CN"/>
        </w:rPr>
      </w:pPr>
    </w:p>
    <w:p w:rsidR="007E69A9" w:rsidRDefault="007E69A9" w:rsidP="002D3D60">
      <w:pPr>
        <w:spacing w:before="60" w:after="60" w:line="360" w:lineRule="auto"/>
        <w:ind w:firstLine="720"/>
        <w:jc w:val="both"/>
        <w:rPr>
          <w:b/>
          <w:bCs/>
          <w:sz w:val="22"/>
          <w:szCs w:val="22"/>
          <w:rtl/>
          <w:lang w:eastAsia="zh-CN"/>
        </w:rPr>
      </w:pPr>
    </w:p>
    <w:p w:rsidR="002D3D60" w:rsidRPr="002D3D60" w:rsidRDefault="002D3D60" w:rsidP="002D3D60">
      <w:pPr>
        <w:spacing w:before="60" w:after="60" w:line="360" w:lineRule="auto"/>
        <w:ind w:firstLine="720"/>
        <w:jc w:val="both"/>
        <w:rPr>
          <w:b/>
          <w:bCs/>
          <w:sz w:val="22"/>
          <w:szCs w:val="22"/>
          <w:rtl/>
          <w:lang w:eastAsia="zh-CN"/>
        </w:rPr>
      </w:pPr>
      <w:r w:rsidRPr="002D3D60">
        <w:rPr>
          <w:rFonts w:hint="cs"/>
          <w:b/>
          <w:bCs/>
          <w:sz w:val="22"/>
          <w:szCs w:val="22"/>
          <w:rtl/>
          <w:lang w:eastAsia="zh-CN"/>
        </w:rPr>
        <w:t>فقال عمر: أيها الناس عليكم بديوانكم شعر الجاهلية؛ فإن فيه تفسير كتابكم، ومعاني كلامكم.(</w:t>
      </w:r>
      <w:r w:rsidRPr="002D3D60">
        <w:rPr>
          <w:b/>
          <w:bCs/>
          <w:sz w:val="22"/>
          <w:szCs w:val="22"/>
          <w:rtl/>
          <w:lang w:eastAsia="zh-CN"/>
        </w:rPr>
        <w:footnoteReference w:id="1"/>
      </w:r>
      <w:r w:rsidRPr="002D3D60">
        <w:rPr>
          <w:rFonts w:hint="cs"/>
          <w:b/>
          <w:bCs/>
          <w:sz w:val="22"/>
          <w:szCs w:val="22"/>
          <w:rtl/>
          <w:lang w:eastAsia="zh-CN"/>
        </w:rPr>
        <w:t>)</w:t>
      </w:r>
    </w:p>
    <w:p w:rsidR="002D3D60" w:rsidRPr="002D3D60" w:rsidRDefault="002D3D60" w:rsidP="002D3D60">
      <w:pPr>
        <w:spacing w:before="60" w:after="60" w:line="360" w:lineRule="auto"/>
        <w:ind w:firstLine="720"/>
        <w:jc w:val="both"/>
        <w:rPr>
          <w:b/>
          <w:bCs/>
          <w:sz w:val="22"/>
          <w:szCs w:val="22"/>
          <w:rtl/>
          <w:lang w:eastAsia="zh-CN"/>
        </w:rPr>
      </w:pPr>
      <w:r w:rsidRPr="002D3D60">
        <w:rPr>
          <w:rFonts w:hint="cs"/>
          <w:b/>
          <w:bCs/>
          <w:sz w:val="22"/>
          <w:szCs w:val="22"/>
          <w:rtl/>
          <w:lang w:eastAsia="zh-CN"/>
        </w:rPr>
        <w:t>ثم أقرَّ حبر الأمة عبد الله بن عباس رضي الله عنه ما قاله عمر رضي الله عنه فقال: "الشعر ديوان العرب، فإذا خفي علينا الحرف من القرآن الذي أنزله الله بلغة العرب، رجعنا إلى ديوانها، فالتمسنا معرفة ذلك منه</w:t>
      </w:r>
      <w:r w:rsidR="006860C3">
        <w:rPr>
          <w:rFonts w:hint="cs"/>
          <w:b/>
          <w:bCs/>
          <w:sz w:val="22"/>
          <w:szCs w:val="22"/>
          <w:rtl/>
          <w:lang w:eastAsia="zh-CN"/>
        </w:rPr>
        <w:t xml:space="preserve"> </w:t>
      </w:r>
      <w:r w:rsidR="006860C3" w:rsidRPr="002D3D60">
        <w:rPr>
          <w:rFonts w:hint="cs"/>
          <w:b/>
          <w:bCs/>
          <w:sz w:val="22"/>
          <w:szCs w:val="22"/>
          <w:rtl/>
          <w:lang w:eastAsia="zh-CN"/>
        </w:rPr>
        <w:t>(</w:t>
      </w:r>
      <w:r w:rsidR="006860C3" w:rsidRPr="002D3D60">
        <w:rPr>
          <w:b/>
          <w:bCs/>
          <w:sz w:val="22"/>
          <w:szCs w:val="22"/>
          <w:rtl/>
          <w:lang w:eastAsia="zh-CN"/>
        </w:rPr>
        <w:footnoteReference w:id="2"/>
      </w:r>
      <w:r w:rsidR="006860C3" w:rsidRPr="002D3D60">
        <w:rPr>
          <w:rFonts w:hint="cs"/>
          <w:b/>
          <w:bCs/>
          <w:sz w:val="22"/>
          <w:szCs w:val="22"/>
          <w:rtl/>
          <w:lang w:eastAsia="zh-CN"/>
        </w:rPr>
        <w:t>)</w:t>
      </w:r>
      <w:r w:rsidR="006860C3">
        <w:rPr>
          <w:rFonts w:hint="cs"/>
          <w:b/>
          <w:bCs/>
          <w:sz w:val="22"/>
          <w:szCs w:val="22"/>
          <w:rtl/>
          <w:lang w:eastAsia="zh-CN"/>
        </w:rPr>
        <w:t>. و</w:t>
      </w:r>
      <w:r w:rsidR="006860C3" w:rsidRPr="006860C3">
        <w:rPr>
          <w:b/>
          <w:bCs/>
          <w:sz w:val="22"/>
          <w:szCs w:val="22"/>
          <w:rtl/>
          <w:lang w:eastAsia="zh-CN"/>
        </w:rPr>
        <w:t xml:space="preserve">كان ابن عباس </w:t>
      </w:r>
      <w:r w:rsidR="006860C3">
        <w:rPr>
          <w:rFonts w:hint="cs"/>
          <w:b/>
          <w:bCs/>
          <w:sz w:val="22"/>
          <w:szCs w:val="22"/>
          <w:rtl/>
          <w:lang w:eastAsia="zh-CN"/>
        </w:rPr>
        <w:t xml:space="preserve">رضوان الله عليه </w:t>
      </w:r>
      <w:r w:rsidR="006860C3" w:rsidRPr="006860C3">
        <w:rPr>
          <w:b/>
          <w:bCs/>
          <w:sz w:val="22"/>
          <w:szCs w:val="22"/>
          <w:rtl/>
          <w:lang w:eastAsia="zh-CN"/>
        </w:rPr>
        <w:t>يحثُّ الناس على تعلم الشعر الجاهلى لقوته وفصاحته ويقول للناس كثيراً وفى مجالس عديدة</w:t>
      </w:r>
      <w:r w:rsidR="006860C3">
        <w:rPr>
          <w:rFonts w:hint="cs"/>
          <w:b/>
          <w:bCs/>
          <w:sz w:val="22"/>
          <w:szCs w:val="22"/>
          <w:rtl/>
          <w:lang w:eastAsia="zh-CN"/>
        </w:rPr>
        <w:t>. "</w:t>
      </w:r>
      <w:r w:rsidR="006860C3" w:rsidRPr="006860C3">
        <w:rPr>
          <w:b/>
          <w:bCs/>
          <w:sz w:val="22"/>
          <w:szCs w:val="22"/>
          <w:rtl/>
          <w:lang w:eastAsia="zh-CN"/>
        </w:rPr>
        <w:t>إذا سألتم عن شيء من غريب القرآن فالتمسوه في ا</w:t>
      </w:r>
      <w:r w:rsidR="006860C3">
        <w:rPr>
          <w:b/>
          <w:bCs/>
          <w:sz w:val="22"/>
          <w:szCs w:val="22"/>
          <w:rtl/>
          <w:lang w:eastAsia="zh-CN"/>
        </w:rPr>
        <w:t>لشعر فإن الشعر ديوان العرب</w:t>
      </w:r>
      <w:r w:rsidR="006860C3">
        <w:rPr>
          <w:rFonts w:hint="cs"/>
          <w:b/>
          <w:bCs/>
          <w:sz w:val="22"/>
          <w:szCs w:val="22"/>
          <w:rtl/>
          <w:lang w:eastAsia="zh-CN"/>
        </w:rPr>
        <w:t>"</w:t>
      </w:r>
      <w:r w:rsidR="006860C3">
        <w:rPr>
          <w:b/>
          <w:bCs/>
          <w:sz w:val="22"/>
          <w:szCs w:val="22"/>
          <w:rtl/>
          <w:lang w:eastAsia="zh-CN"/>
        </w:rPr>
        <w:t xml:space="preserve"> و يقول أيضاً</w:t>
      </w:r>
      <w:r w:rsidR="006860C3">
        <w:rPr>
          <w:rFonts w:hint="cs"/>
          <w:b/>
          <w:bCs/>
          <w:sz w:val="22"/>
          <w:szCs w:val="22"/>
          <w:rtl/>
          <w:lang w:eastAsia="zh-CN"/>
        </w:rPr>
        <w:t>: "</w:t>
      </w:r>
      <w:r w:rsidR="006860C3" w:rsidRPr="006860C3">
        <w:rPr>
          <w:b/>
          <w:bCs/>
          <w:sz w:val="22"/>
          <w:szCs w:val="22"/>
          <w:rtl/>
          <w:lang w:eastAsia="zh-CN"/>
        </w:rPr>
        <w:t>الشعر ديوان العرب وأول علومهم</w:t>
      </w:r>
      <w:r w:rsidRPr="002D3D60">
        <w:rPr>
          <w:rFonts w:hint="cs"/>
          <w:b/>
          <w:bCs/>
          <w:sz w:val="22"/>
          <w:szCs w:val="22"/>
          <w:rtl/>
          <w:lang w:eastAsia="zh-CN"/>
        </w:rPr>
        <w:t>"(</w:t>
      </w:r>
      <w:r w:rsidRPr="002D3D60">
        <w:rPr>
          <w:b/>
          <w:bCs/>
          <w:sz w:val="22"/>
          <w:szCs w:val="22"/>
          <w:rtl/>
          <w:lang w:eastAsia="zh-CN"/>
        </w:rPr>
        <w:footnoteReference w:id="3"/>
      </w:r>
      <w:r w:rsidRPr="002D3D60">
        <w:rPr>
          <w:rFonts w:hint="cs"/>
          <w:b/>
          <w:bCs/>
          <w:sz w:val="22"/>
          <w:szCs w:val="22"/>
          <w:rtl/>
          <w:lang w:eastAsia="zh-CN"/>
        </w:rPr>
        <w:t>)</w:t>
      </w:r>
    </w:p>
    <w:p w:rsidR="002D3D60" w:rsidRPr="002D3D60" w:rsidRDefault="002D3D60" w:rsidP="002D3D60">
      <w:pPr>
        <w:spacing w:line="360" w:lineRule="auto"/>
        <w:ind w:firstLine="720"/>
        <w:jc w:val="both"/>
        <w:rPr>
          <w:b/>
          <w:bCs/>
          <w:sz w:val="22"/>
          <w:szCs w:val="22"/>
          <w:rtl/>
          <w:lang w:eastAsia="zh-CN"/>
        </w:rPr>
      </w:pPr>
      <w:r w:rsidRPr="002D3D60">
        <w:rPr>
          <w:rFonts w:hint="cs"/>
          <w:b/>
          <w:bCs/>
          <w:sz w:val="22"/>
          <w:szCs w:val="22"/>
          <w:rtl/>
          <w:lang w:eastAsia="zh-CN"/>
        </w:rPr>
        <w:t>ويرى ابن فارس أن الشعر "ديوان العرب، وبه حفظت الأنساب وعرفت المآثر، ومنه تعلمت اللغة، وهو حجة فيما أشكل من غريب كتاب الله وغريب حديث رسول الله صلى الله عليه وسلم وحديث صحابته والتابعين"(</w:t>
      </w:r>
      <w:r w:rsidRPr="002D3D60">
        <w:rPr>
          <w:b/>
          <w:bCs/>
          <w:sz w:val="22"/>
          <w:szCs w:val="22"/>
          <w:rtl/>
          <w:lang w:eastAsia="zh-CN"/>
        </w:rPr>
        <w:footnoteReference w:id="4"/>
      </w:r>
      <w:r w:rsidRPr="002D3D60">
        <w:rPr>
          <w:rFonts w:hint="cs"/>
          <w:b/>
          <w:bCs/>
          <w:sz w:val="22"/>
          <w:szCs w:val="22"/>
          <w:rtl/>
          <w:lang w:eastAsia="zh-CN"/>
        </w:rPr>
        <w:t>)</w:t>
      </w:r>
    </w:p>
    <w:p w:rsidR="002D3D60" w:rsidRDefault="002D3D60" w:rsidP="006860C3">
      <w:pPr>
        <w:spacing w:before="60" w:after="60" w:line="360" w:lineRule="auto"/>
        <w:ind w:firstLine="720"/>
        <w:jc w:val="both"/>
        <w:rPr>
          <w:rFonts w:hint="cs"/>
          <w:b/>
          <w:bCs/>
          <w:sz w:val="22"/>
          <w:szCs w:val="22"/>
          <w:rtl/>
          <w:lang w:eastAsia="zh-CN" w:bidi="ar-EG"/>
        </w:rPr>
      </w:pPr>
      <w:r w:rsidRPr="002D3D60">
        <w:rPr>
          <w:rFonts w:hint="cs"/>
          <w:b/>
          <w:bCs/>
          <w:sz w:val="22"/>
          <w:szCs w:val="22"/>
          <w:rtl/>
          <w:lang w:eastAsia="zh-CN"/>
        </w:rPr>
        <w:lastRenderedPageBreak/>
        <w:t>لذا لاقى الشعر اهتمامًا كبيرًا من اللغويين، واعتبروه الدعامة الأولى لهم، حتى لقد تخصصت كلمة الشاهد فيما بعد وأصبحت مقصورة على الشعر في الأغلب الأعم، من أجل ذلك وضعوا قواعد وضوابط للاحتجاج به كما فعلوا مع القول المنثور، وأهم الضوابط والمعايير التي وضعوها للاحتجاج بالشعر هي المعايير المكانية والزمانية.</w:t>
      </w:r>
    </w:p>
    <w:p w:rsidR="00240763" w:rsidRDefault="00240763" w:rsidP="002D3D60">
      <w:pPr>
        <w:spacing w:before="60" w:after="60" w:line="360" w:lineRule="auto"/>
        <w:ind w:firstLine="720"/>
        <w:jc w:val="both"/>
        <w:rPr>
          <w:b/>
          <w:bCs/>
          <w:sz w:val="22"/>
          <w:szCs w:val="22"/>
          <w:rtl/>
          <w:lang w:eastAsia="zh-CN"/>
        </w:rPr>
      </w:pPr>
      <w:r>
        <w:rPr>
          <w:rFonts w:hint="cs"/>
          <w:b/>
          <w:bCs/>
          <w:sz w:val="22"/>
          <w:szCs w:val="22"/>
          <w:rtl/>
          <w:lang w:eastAsia="zh-CN"/>
        </w:rPr>
        <w:t>وللحديث بقية إن شاء الله تعالى</w:t>
      </w:r>
    </w:p>
    <w:p w:rsidR="007E69A9" w:rsidRPr="00831274" w:rsidRDefault="007E69A9" w:rsidP="007E69A9">
      <w:pPr>
        <w:suppressAutoHyphens/>
        <w:ind w:firstLine="567"/>
        <w:jc w:val="both"/>
        <w:rPr>
          <w:b/>
          <w:bCs/>
          <w:sz w:val="28"/>
          <w:szCs w:val="28"/>
          <w:rtl/>
          <w:lang w:eastAsia="zh-CN"/>
        </w:rPr>
      </w:pPr>
      <w:r w:rsidRPr="00831274">
        <w:rPr>
          <w:rFonts w:hint="cs"/>
          <w:b/>
          <w:bCs/>
          <w:sz w:val="28"/>
          <w:szCs w:val="28"/>
          <w:rtl/>
          <w:lang w:eastAsia="zh-CN"/>
        </w:rPr>
        <w:t>المصادر والمراجع</w:t>
      </w:r>
      <w:r>
        <w:rPr>
          <w:rFonts w:hint="cs"/>
          <w:b/>
          <w:bCs/>
          <w:sz w:val="28"/>
          <w:szCs w:val="28"/>
          <w:rtl/>
          <w:lang w:eastAsia="zh-CN"/>
        </w:rPr>
        <w:t>:</w:t>
      </w:r>
    </w:p>
    <w:p w:rsidR="007E69A9" w:rsidRPr="00831274" w:rsidRDefault="007E69A9" w:rsidP="007E69A9">
      <w:pPr>
        <w:suppressAutoHyphens/>
        <w:ind w:firstLine="567"/>
        <w:jc w:val="both"/>
        <w:rPr>
          <w:b/>
          <w:bCs/>
          <w:sz w:val="22"/>
          <w:szCs w:val="22"/>
          <w:rtl/>
          <w:lang w:eastAsia="zh-CN"/>
        </w:rPr>
      </w:pPr>
    </w:p>
    <w:p w:rsidR="007E69A9" w:rsidRPr="00831274" w:rsidRDefault="007E69A9" w:rsidP="007E69A9">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 xml:space="preserve">الاستشهاد والاحتجاج باللغة، محمد عيد، عالم الكتب، ط3، 1366هـ/1988م. </w:t>
      </w:r>
    </w:p>
    <w:p w:rsidR="007E69A9" w:rsidRPr="00831274" w:rsidRDefault="007E69A9" w:rsidP="007E69A9">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التفكير النحوى،علي أبو المكارم، منشورات الجامعة الليبية، كلية التربية، مطابع دار القلم، بيروت ، لبنان، 1972م .  </w:t>
      </w:r>
    </w:p>
    <w:p w:rsidR="007E69A9" w:rsidRPr="00831274" w:rsidRDefault="007E69A9" w:rsidP="007E69A9">
      <w:pPr>
        <w:pStyle w:val="ListParagraph"/>
        <w:numPr>
          <w:ilvl w:val="0"/>
          <w:numId w:val="6"/>
        </w:numPr>
        <w:spacing w:line="360" w:lineRule="auto"/>
        <w:jc w:val="lowKashida"/>
        <w:rPr>
          <w:b/>
          <w:bCs/>
          <w:sz w:val="22"/>
          <w:szCs w:val="22"/>
          <w:rtl/>
          <w:lang w:eastAsia="zh-CN"/>
        </w:rPr>
      </w:pPr>
      <w:r w:rsidRPr="00831274">
        <w:rPr>
          <w:rFonts w:hint="cs"/>
          <w:b/>
          <w:bCs/>
          <w:sz w:val="22"/>
          <w:szCs w:val="22"/>
          <w:rtl/>
          <w:lang w:eastAsia="zh-CN"/>
        </w:rPr>
        <w:t xml:space="preserve">أصول النحو العربي، محمد خير الحلواني، مطبعة الشرق، حلب، 1979م. </w:t>
      </w:r>
    </w:p>
    <w:p w:rsidR="007E69A9" w:rsidRDefault="007E69A9" w:rsidP="007E69A9">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أصول النحو العربي،محمود أحمد نحلة، دار العلوم العربية، بيروت، ط1، 1407هـ/1987م.</w:t>
      </w:r>
    </w:p>
    <w:p w:rsidR="007E69A9" w:rsidRDefault="007E69A9" w:rsidP="007E69A9">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الاقتراح في علم أصول النحو، جلال الدين السيوطي، تحقيق</w:t>
      </w:r>
      <w:r w:rsidRPr="00831274">
        <w:rPr>
          <w:rFonts w:eastAsia="Times New Roman" w:hint="cs"/>
          <w:b/>
          <w:bCs/>
          <w:sz w:val="22"/>
          <w:szCs w:val="22"/>
          <w:rtl/>
          <w:cs/>
          <w:lang w:eastAsia="zh-CN"/>
        </w:rPr>
        <w:t xml:space="preserve">: أحمد محمد قاسم، مطبعة السعادة، القاهرة، </w:t>
      </w:r>
      <w:r w:rsidRPr="00831274">
        <w:rPr>
          <w:rFonts w:eastAsia="Times New Roman" w:hint="cs"/>
          <w:b/>
          <w:bCs/>
          <w:sz w:val="22"/>
          <w:szCs w:val="22"/>
          <w:rtl/>
          <w:lang w:eastAsia="zh-CN"/>
        </w:rPr>
        <w:t xml:space="preserve">ط1، </w:t>
      </w:r>
      <w:r w:rsidRPr="00831274">
        <w:rPr>
          <w:rFonts w:eastAsia="Times New Roman" w:hint="cs"/>
          <w:b/>
          <w:bCs/>
          <w:sz w:val="22"/>
          <w:szCs w:val="22"/>
          <w:rtl/>
          <w:cs/>
          <w:lang w:eastAsia="zh-CN"/>
        </w:rPr>
        <w:t>1366هـ/1976</w:t>
      </w:r>
      <w:r w:rsidRPr="00831274">
        <w:rPr>
          <w:rFonts w:eastAsia="Times New Roman" w:hint="cs"/>
          <w:b/>
          <w:bCs/>
          <w:sz w:val="22"/>
          <w:szCs w:val="22"/>
          <w:rtl/>
          <w:lang w:eastAsia="zh-CN"/>
        </w:rPr>
        <w:t>م</w:t>
      </w:r>
    </w:p>
    <w:p w:rsidR="007E69A9" w:rsidRDefault="007E69A9" w:rsidP="007E69A9">
      <w:pPr>
        <w:pStyle w:val="references"/>
        <w:numPr>
          <w:ilvl w:val="0"/>
          <w:numId w:val="6"/>
        </w:numPr>
        <w:bidi/>
        <w:rPr>
          <w:rFonts w:eastAsia="Times New Roman"/>
          <w:b/>
          <w:bCs/>
          <w:sz w:val="22"/>
          <w:szCs w:val="22"/>
          <w:lang w:eastAsia="zh-CN"/>
        </w:rPr>
      </w:pPr>
      <w:r w:rsidRPr="00831274">
        <w:rPr>
          <w:rFonts w:eastAsia="Times New Roman" w:hint="cs"/>
          <w:b/>
          <w:bCs/>
          <w:sz w:val="22"/>
          <w:szCs w:val="22"/>
          <w:rtl/>
          <w:lang w:eastAsia="zh-CN"/>
        </w:rPr>
        <w:t>البحث اللغوي عند العرب، مع دراسة لقضية التأثير والتأثر، أحمد مختار عمر، عالم الكتب، ط</w:t>
      </w:r>
      <w:r w:rsidRPr="00831274">
        <w:rPr>
          <w:rFonts w:eastAsia="Times New Roman" w:hint="cs"/>
          <w:b/>
          <w:bCs/>
          <w:sz w:val="22"/>
          <w:szCs w:val="22"/>
          <w:rtl/>
          <w:cs/>
          <w:lang w:eastAsia="zh-CN"/>
        </w:rPr>
        <w:t>4، 1408 هـ/1982</w:t>
      </w:r>
      <w:r w:rsidRPr="00831274">
        <w:rPr>
          <w:rFonts w:eastAsia="Times New Roman" w:hint="cs"/>
          <w:b/>
          <w:bCs/>
          <w:sz w:val="22"/>
          <w:szCs w:val="22"/>
          <w:rtl/>
          <w:lang w:eastAsia="zh-CN"/>
        </w:rPr>
        <w:t>م</w:t>
      </w:r>
    </w:p>
    <w:p w:rsidR="007E69A9" w:rsidRPr="005B2570" w:rsidRDefault="007E69A9" w:rsidP="007E69A9">
      <w:pPr>
        <w:pStyle w:val="ListParagraph"/>
        <w:numPr>
          <w:ilvl w:val="0"/>
          <w:numId w:val="6"/>
        </w:numPr>
        <w:spacing w:line="360" w:lineRule="auto"/>
        <w:jc w:val="lowKashida"/>
        <w:rPr>
          <w:b/>
          <w:bCs/>
          <w:sz w:val="22"/>
          <w:szCs w:val="22"/>
          <w:lang w:eastAsia="zh-CN"/>
        </w:rPr>
      </w:pPr>
      <w:r w:rsidRPr="005B2570">
        <w:rPr>
          <w:rFonts w:hint="cs"/>
          <w:b/>
          <w:bCs/>
          <w:sz w:val="22"/>
          <w:szCs w:val="22"/>
          <w:rtl/>
          <w:lang w:eastAsia="zh-CN"/>
        </w:rPr>
        <w:t>العمدة في محاسن الشعر وآدابه ونقده، أبو الحسن بن رشيق القيرواني، تحقيق: محمد محي الدين عبد الحميد، دار الجيل، بيروت، ط4، 1972م.</w:t>
      </w:r>
    </w:p>
    <w:p w:rsidR="007E69A9" w:rsidRPr="005B2570" w:rsidRDefault="007E69A9" w:rsidP="007E69A9">
      <w:pPr>
        <w:pStyle w:val="ListParagraph"/>
        <w:numPr>
          <w:ilvl w:val="0"/>
          <w:numId w:val="6"/>
        </w:numPr>
        <w:spacing w:line="360" w:lineRule="auto"/>
        <w:jc w:val="lowKashida"/>
        <w:rPr>
          <w:b/>
          <w:bCs/>
          <w:sz w:val="22"/>
          <w:szCs w:val="22"/>
          <w:lang w:eastAsia="zh-CN"/>
        </w:rPr>
      </w:pPr>
      <w:r w:rsidRPr="00831274">
        <w:rPr>
          <w:rFonts w:hint="cs"/>
          <w:b/>
          <w:bCs/>
          <w:sz w:val="22"/>
          <w:szCs w:val="22"/>
          <w:rtl/>
          <w:lang w:eastAsia="zh-CN"/>
        </w:rPr>
        <w:t>المعجم العربي، نشأته وتطوره، حسين نصار، مكتبة مصر، ط4، 1408هـ/ 1988م.</w:t>
      </w:r>
    </w:p>
    <w:p w:rsidR="007E69A9" w:rsidRPr="00C56FA5" w:rsidRDefault="007E69A9" w:rsidP="007E69A9">
      <w:pPr>
        <w:spacing w:line="360" w:lineRule="auto"/>
        <w:jc w:val="both"/>
        <w:rPr>
          <w:b/>
          <w:bCs/>
          <w:sz w:val="22"/>
          <w:szCs w:val="22"/>
          <w:rtl/>
          <w:lang w:eastAsia="zh-CN"/>
        </w:rPr>
      </w:pPr>
    </w:p>
    <w:p w:rsidR="007E69A9" w:rsidRPr="002D3D60" w:rsidRDefault="007E69A9" w:rsidP="002D3D60">
      <w:pPr>
        <w:spacing w:before="60" w:after="60" w:line="360" w:lineRule="auto"/>
        <w:ind w:firstLine="720"/>
        <w:jc w:val="both"/>
        <w:rPr>
          <w:b/>
          <w:bCs/>
          <w:sz w:val="22"/>
          <w:szCs w:val="22"/>
          <w:rtl/>
          <w:lang w:eastAsia="zh-CN"/>
        </w:rPr>
      </w:pPr>
    </w:p>
    <w:p w:rsidR="005C61A2" w:rsidRPr="00E33E85" w:rsidRDefault="005C61A2" w:rsidP="00943D74">
      <w:pPr>
        <w:pStyle w:val="FootnoteText"/>
        <w:widowControl w:val="0"/>
        <w:autoSpaceDE w:val="0"/>
        <w:autoSpaceDN w:val="0"/>
        <w:adjustRightInd w:val="0"/>
        <w:rPr>
          <w:rFonts w:ascii="Arial" w:eastAsia="MS Mincho" w:hAnsi="Arial" w:cs="Arial"/>
          <w:color w:val="222222"/>
          <w:sz w:val="24"/>
          <w:szCs w:val="24"/>
          <w:lang w:bidi="ar-SA"/>
        </w:rPr>
      </w:pPr>
    </w:p>
    <w:sectPr w:rsidR="005C61A2" w:rsidRPr="00E33E85"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85" w:rsidRDefault="009F3A85" w:rsidP="004B3A23">
      <w:r>
        <w:separator/>
      </w:r>
    </w:p>
  </w:endnote>
  <w:endnote w:type="continuationSeparator" w:id="0">
    <w:p w:rsidR="009F3A85" w:rsidRDefault="009F3A85" w:rsidP="004B3A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85" w:rsidRDefault="009F3A85" w:rsidP="004B3A23">
      <w:r>
        <w:separator/>
      </w:r>
    </w:p>
  </w:footnote>
  <w:footnote w:type="continuationSeparator" w:id="0">
    <w:p w:rsidR="009F3A85" w:rsidRDefault="009F3A85" w:rsidP="004B3A23">
      <w:r>
        <w:continuationSeparator/>
      </w:r>
    </w:p>
  </w:footnote>
  <w:footnote w:id="1">
    <w:p w:rsidR="006860C3" w:rsidRPr="002D3D60" w:rsidRDefault="006860C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الكشاف للزمخشري، </w:t>
      </w:r>
      <w:r w:rsidRPr="002D3D60">
        <w:rPr>
          <w:rFonts w:hint="cs"/>
          <w:b/>
          <w:bCs/>
          <w:sz w:val="22"/>
          <w:szCs w:val="22"/>
          <w:rtl/>
          <w:cs/>
          <w:lang w:eastAsia="zh-CN"/>
        </w:rPr>
        <w:t>2/205.</w:t>
      </w:r>
    </w:p>
  </w:footnote>
  <w:footnote w:id="2">
    <w:p w:rsidR="006860C3" w:rsidRPr="002D3D60" w:rsidRDefault="006860C3" w:rsidP="006860C3">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rFonts w:hint="cs"/>
          <w:b/>
          <w:bCs/>
          <w:sz w:val="22"/>
          <w:szCs w:val="22"/>
          <w:rtl/>
          <w:cs/>
          <w:lang w:eastAsia="zh-CN"/>
        </w:rPr>
        <w:t xml:space="preserve">) </w:t>
      </w:r>
      <w:r w:rsidRPr="002D3D60">
        <w:rPr>
          <w:rFonts w:hint="cs"/>
          <w:b/>
          <w:bCs/>
          <w:sz w:val="22"/>
          <w:szCs w:val="22"/>
          <w:rtl/>
          <w:cs/>
          <w:lang w:eastAsia="zh-CN" w:bidi="ar-SA"/>
        </w:rPr>
        <w:t xml:space="preserve">الإتقان في علوم القرآن، جلال الدين السيوطي، </w:t>
      </w:r>
      <w:r w:rsidRPr="002D3D60">
        <w:rPr>
          <w:rFonts w:hint="cs"/>
          <w:b/>
          <w:bCs/>
          <w:sz w:val="22"/>
          <w:szCs w:val="22"/>
          <w:rtl/>
          <w:cs/>
          <w:lang w:eastAsia="zh-CN"/>
        </w:rPr>
        <w:t>(</w:t>
      </w:r>
      <w:r w:rsidRPr="002D3D60">
        <w:rPr>
          <w:rFonts w:hint="cs"/>
          <w:b/>
          <w:bCs/>
          <w:sz w:val="22"/>
          <w:szCs w:val="22"/>
          <w:rtl/>
          <w:lang w:eastAsia="zh-CN" w:bidi="ar-SA"/>
        </w:rPr>
        <w:t>أبو الفضل</w:t>
      </w:r>
      <w:r w:rsidRPr="002D3D60">
        <w:rPr>
          <w:rFonts w:hint="cs"/>
          <w:b/>
          <w:bCs/>
          <w:sz w:val="22"/>
          <w:szCs w:val="22"/>
          <w:rtl/>
          <w:cs/>
          <w:lang w:eastAsia="zh-CN"/>
        </w:rPr>
        <w:t>) 2/67.</w:t>
      </w:r>
    </w:p>
  </w:footnote>
  <w:footnote w:id="3">
    <w:p w:rsidR="006860C3" w:rsidRPr="002D3D60" w:rsidRDefault="006860C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rFonts w:hint="cs"/>
          <w:b/>
          <w:bCs/>
          <w:sz w:val="22"/>
          <w:szCs w:val="22"/>
          <w:rtl/>
          <w:cs/>
          <w:lang w:eastAsia="zh-CN"/>
        </w:rPr>
        <w:t xml:space="preserve">) </w:t>
      </w:r>
      <w:r w:rsidRPr="002D3D60">
        <w:rPr>
          <w:rFonts w:hint="cs"/>
          <w:b/>
          <w:bCs/>
          <w:sz w:val="22"/>
          <w:szCs w:val="22"/>
          <w:rtl/>
          <w:cs/>
          <w:lang w:eastAsia="zh-CN" w:bidi="ar-SA"/>
        </w:rPr>
        <w:t xml:space="preserve">الإتقان في علوم القرآن، جلال الدين السيوطي، </w:t>
      </w:r>
      <w:r w:rsidRPr="002D3D60">
        <w:rPr>
          <w:rFonts w:hint="cs"/>
          <w:b/>
          <w:bCs/>
          <w:sz w:val="22"/>
          <w:szCs w:val="22"/>
          <w:rtl/>
          <w:cs/>
          <w:lang w:eastAsia="zh-CN"/>
        </w:rPr>
        <w:t>(</w:t>
      </w:r>
      <w:r w:rsidRPr="002D3D60">
        <w:rPr>
          <w:rFonts w:hint="cs"/>
          <w:b/>
          <w:bCs/>
          <w:sz w:val="22"/>
          <w:szCs w:val="22"/>
          <w:rtl/>
          <w:lang w:eastAsia="zh-CN" w:bidi="ar-SA"/>
        </w:rPr>
        <w:t>أبو الفضل</w:t>
      </w:r>
      <w:r w:rsidRPr="002D3D60">
        <w:rPr>
          <w:rFonts w:hint="cs"/>
          <w:b/>
          <w:bCs/>
          <w:sz w:val="22"/>
          <w:szCs w:val="22"/>
          <w:rtl/>
          <w:cs/>
          <w:lang w:eastAsia="zh-CN"/>
        </w:rPr>
        <w:t>) 2/67.</w:t>
      </w:r>
    </w:p>
  </w:footnote>
  <w:footnote w:id="4">
    <w:p w:rsidR="006860C3" w:rsidRPr="002D3D60" w:rsidRDefault="006860C3" w:rsidP="002D3D60">
      <w:pPr>
        <w:pStyle w:val="FootnoteText"/>
        <w:jc w:val="lowKashida"/>
        <w:rPr>
          <w:b/>
          <w:bCs/>
          <w:sz w:val="22"/>
          <w:szCs w:val="22"/>
          <w:rtl/>
          <w:cs/>
          <w:lang w:eastAsia="zh-CN"/>
        </w:rPr>
      </w:pPr>
      <w:r w:rsidRPr="002D3D60">
        <w:rPr>
          <w:rFonts w:hint="cs"/>
          <w:b/>
          <w:bCs/>
          <w:sz w:val="22"/>
          <w:szCs w:val="22"/>
          <w:rtl/>
          <w:cs/>
          <w:lang w:eastAsia="zh-CN"/>
        </w:rPr>
        <w:t>(</w:t>
      </w:r>
      <w:r w:rsidRPr="002D3D60">
        <w:rPr>
          <w:b/>
          <w:bCs/>
          <w:sz w:val="22"/>
          <w:szCs w:val="22"/>
          <w:lang w:eastAsia="zh-CN" w:bidi="ar-SA"/>
        </w:rPr>
        <w:footnoteRef/>
      </w:r>
      <w:r w:rsidRPr="002D3D60">
        <w:rPr>
          <w:b/>
          <w:bCs/>
          <w:sz w:val="22"/>
          <w:szCs w:val="22"/>
          <w:lang w:eastAsia="zh-CN" w:bidi="ar-SA"/>
        </w:rPr>
        <w:t xml:space="preserve"> </w:t>
      </w:r>
      <w:r w:rsidRPr="002D3D60">
        <w:rPr>
          <w:rFonts w:hint="cs"/>
          <w:b/>
          <w:bCs/>
          <w:sz w:val="22"/>
          <w:szCs w:val="22"/>
          <w:rtl/>
          <w:cs/>
          <w:lang w:eastAsia="zh-CN"/>
        </w:rPr>
        <w:t xml:space="preserve">) </w:t>
      </w:r>
      <w:r w:rsidRPr="002D3D60">
        <w:rPr>
          <w:rFonts w:hint="cs"/>
          <w:b/>
          <w:bCs/>
          <w:sz w:val="22"/>
          <w:szCs w:val="22"/>
          <w:rtl/>
          <w:cs/>
          <w:lang w:eastAsia="zh-CN" w:bidi="ar-SA"/>
        </w:rPr>
        <w:t xml:space="preserve">المزهر في علوم </w:t>
      </w:r>
      <w:r w:rsidRPr="002D3D60">
        <w:rPr>
          <w:rFonts w:hint="cs"/>
          <w:b/>
          <w:bCs/>
          <w:sz w:val="22"/>
          <w:szCs w:val="22"/>
          <w:rtl/>
          <w:lang w:eastAsia="zh-CN" w:bidi="ar-SA"/>
        </w:rPr>
        <w:t xml:space="preserve">اللغة، السيوطي، </w:t>
      </w:r>
      <w:r w:rsidRPr="002D3D60">
        <w:rPr>
          <w:rFonts w:hint="cs"/>
          <w:b/>
          <w:bCs/>
          <w:sz w:val="22"/>
          <w:szCs w:val="22"/>
          <w:rtl/>
          <w:cs/>
          <w:lang w:eastAsia="zh-CN"/>
        </w:rPr>
        <w:t>2/235.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F6E"/>
    <w:multiLevelType w:val="hybridMultilevel"/>
    <w:tmpl w:val="1D966110"/>
    <w:lvl w:ilvl="0" w:tplc="17A0B928">
      <w:start w:val="1"/>
      <w:numFmt w:val="bullet"/>
      <w:lvlText w:val=""/>
      <w:lvlJc w:val="left"/>
      <w:pPr>
        <w:tabs>
          <w:tab w:val="num" w:pos="720"/>
        </w:tabs>
        <w:ind w:left="720" w:right="720" w:hanging="360"/>
      </w:pPr>
      <w:rPr>
        <w:rFonts w:ascii="Wingdings" w:hAnsi="Wingdings"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31126"/>
    <w:multiLevelType w:val="hybridMultilevel"/>
    <w:tmpl w:val="575E12E0"/>
    <w:lvl w:ilvl="0" w:tplc="71924EF2">
      <w:numFmt w:val="bullet"/>
      <w:lvlText w:val=""/>
      <w:lvlJc w:val="left"/>
      <w:pPr>
        <w:tabs>
          <w:tab w:val="num" w:pos="360"/>
        </w:tabs>
        <w:ind w:left="360" w:right="720" w:hanging="360"/>
      </w:pPr>
      <w:rPr>
        <w:rFonts w:ascii="Symbol" w:eastAsia="Times New Roman" w:hAnsi="Symbol" w:cs="Traditional Arabic" w:hint="default"/>
        <w:lang w:bidi="ar-SA"/>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B2D00"/>
    <w:rsid w:val="000F2ECD"/>
    <w:rsid w:val="00142A89"/>
    <w:rsid w:val="001D2450"/>
    <w:rsid w:val="001F1B1D"/>
    <w:rsid w:val="00240763"/>
    <w:rsid w:val="00242A76"/>
    <w:rsid w:val="00246F4F"/>
    <w:rsid w:val="002A4685"/>
    <w:rsid w:val="002D3D60"/>
    <w:rsid w:val="0036688B"/>
    <w:rsid w:val="004B3A23"/>
    <w:rsid w:val="004C5834"/>
    <w:rsid w:val="005343E2"/>
    <w:rsid w:val="005405C8"/>
    <w:rsid w:val="005C4EA9"/>
    <w:rsid w:val="005C61A2"/>
    <w:rsid w:val="005F68C1"/>
    <w:rsid w:val="00623CEB"/>
    <w:rsid w:val="006377B4"/>
    <w:rsid w:val="006860C3"/>
    <w:rsid w:val="007B7509"/>
    <w:rsid w:val="007E69A9"/>
    <w:rsid w:val="00852ED3"/>
    <w:rsid w:val="00943D74"/>
    <w:rsid w:val="00972672"/>
    <w:rsid w:val="009F3A85"/>
    <w:rsid w:val="00A16743"/>
    <w:rsid w:val="00A8539B"/>
    <w:rsid w:val="00C00A15"/>
    <w:rsid w:val="00CE01E1"/>
    <w:rsid w:val="00E33E85"/>
    <w:rsid w:val="00ED26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2D3D60"/>
    <w:pPr>
      <w:keepNext/>
      <w:spacing w:before="240" w:after="60"/>
      <w:outlineLvl w:val="1"/>
    </w:pPr>
    <w:rPr>
      <w:rFonts w:ascii="Arial" w:hAnsi="Arial" w:cs="Simplified Arabic"/>
      <w:b/>
      <w:bCs/>
      <w:i/>
      <w:iCs/>
      <w:szCs w:val="40"/>
    </w:rPr>
  </w:style>
  <w:style w:type="paragraph" w:styleId="Heading3">
    <w:name w:val="heading 3"/>
    <w:basedOn w:val="Normal"/>
    <w:next w:val="Normal"/>
    <w:link w:val="Heading3Char"/>
    <w:qFormat/>
    <w:rsid w:val="002D3D60"/>
    <w:pPr>
      <w:keepNext/>
      <w:spacing w:before="240" w:after="60"/>
      <w:outlineLvl w:val="2"/>
    </w:pPr>
    <w:rPr>
      <w:rFonts w:ascii="Arial" w:hAnsi="Arial" w:cs="Ari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2Char">
    <w:name w:val="Heading 2 Char"/>
    <w:basedOn w:val="DefaultParagraphFont"/>
    <w:link w:val="Heading2"/>
    <w:rsid w:val="002D3D60"/>
    <w:rPr>
      <w:rFonts w:ascii="Arial" w:eastAsia="Times New Roman" w:hAnsi="Arial" w:cs="Simplified Arabic"/>
      <w:b/>
      <w:bCs/>
      <w:i/>
      <w:iCs/>
      <w:sz w:val="24"/>
      <w:szCs w:val="40"/>
    </w:rPr>
  </w:style>
  <w:style w:type="character" w:customStyle="1" w:styleId="Heading3Char">
    <w:name w:val="Heading 3 Char"/>
    <w:basedOn w:val="DefaultParagraphFont"/>
    <w:link w:val="Heading3"/>
    <w:rsid w:val="002D3D60"/>
    <w:rPr>
      <w:rFonts w:ascii="Arial" w:eastAsia="Times New Roman" w:hAnsi="Arial" w:cs="Arial"/>
      <w:b/>
      <w:bCs/>
      <w:sz w:val="26"/>
      <w:szCs w:val="26"/>
      <w:lang w:bidi="hi-IN"/>
    </w:rPr>
  </w:style>
  <w:style w:type="paragraph" w:styleId="BodyText">
    <w:name w:val="Body Text"/>
    <w:basedOn w:val="Normal"/>
    <w:link w:val="BodyTextChar"/>
    <w:rsid w:val="002D3D60"/>
    <w:pPr>
      <w:spacing w:after="120"/>
    </w:pPr>
    <w:rPr>
      <w:lang w:bidi="hi-IN"/>
    </w:rPr>
  </w:style>
  <w:style w:type="character" w:customStyle="1" w:styleId="BodyTextChar">
    <w:name w:val="Body Text Char"/>
    <w:basedOn w:val="DefaultParagraphFont"/>
    <w:link w:val="BodyText"/>
    <w:rsid w:val="002D3D60"/>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B51F9-4E4B-43A8-9CD6-930B542F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9</cp:revision>
  <dcterms:created xsi:type="dcterms:W3CDTF">2013-05-15T15:15:00Z</dcterms:created>
  <dcterms:modified xsi:type="dcterms:W3CDTF">2013-05-30T15:53:00Z</dcterms:modified>
</cp:coreProperties>
</file>