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9" w:rsidRDefault="007E69A9" w:rsidP="004B3A23">
      <w:pPr>
        <w:spacing w:before="120" w:after="120" w:line="360" w:lineRule="auto"/>
        <w:jc w:val="center"/>
        <w:rPr>
          <w:b/>
          <w:bCs/>
          <w:sz w:val="52"/>
          <w:szCs w:val="52"/>
          <w:rtl/>
          <w:lang w:eastAsia="zh-CN"/>
        </w:rPr>
      </w:pPr>
      <w:r>
        <w:rPr>
          <w:rFonts w:hint="cs"/>
          <w:b/>
          <w:bCs/>
          <w:sz w:val="52"/>
          <w:szCs w:val="52"/>
          <w:rtl/>
          <w:lang w:eastAsia="zh-CN"/>
        </w:rPr>
        <w:t>الاستشهاد بالشعر</w:t>
      </w:r>
      <w:r w:rsidR="002619F0">
        <w:rPr>
          <w:rFonts w:hint="cs"/>
          <w:b/>
          <w:bCs/>
          <w:sz w:val="52"/>
          <w:szCs w:val="52"/>
          <w:rtl/>
          <w:lang w:eastAsia="zh-CN"/>
        </w:rPr>
        <w:t>(3)</w:t>
      </w:r>
    </w:p>
    <w:p w:rsidR="007B7509" w:rsidRPr="007B7509" w:rsidRDefault="007B7509" w:rsidP="004B3A23">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 xml:space="preserve">تقنية الشاهد في </w:t>
      </w:r>
      <w:r w:rsidRPr="007B7509">
        <w:rPr>
          <w:rFonts w:ascii="Arial" w:eastAsia="MS Mincho" w:hAnsi="Arial" w:cs="Arial" w:hint="cs"/>
          <w:color w:val="222222"/>
          <w:sz w:val="40"/>
          <w:szCs w:val="40"/>
          <w:rtl/>
        </w:rPr>
        <w:t>المعاجم اللغوية)</w:t>
      </w:r>
    </w:p>
    <w:p w:rsidR="005C4EA9" w:rsidRPr="007E69A9" w:rsidRDefault="004B3A23" w:rsidP="005C4EA9">
      <w:pPr>
        <w:pStyle w:val="Author"/>
        <w:bidi/>
        <w:rPr>
          <w:rFonts w:eastAsia="Times New Roman"/>
          <w:b/>
          <w:bCs/>
          <w:sz w:val="28"/>
          <w:szCs w:val="28"/>
          <w:rtl/>
          <w:lang w:bidi="ar-EG"/>
        </w:rPr>
      </w:pPr>
      <w:r w:rsidRPr="007E69A9">
        <w:rPr>
          <w:rFonts w:hint="cs"/>
          <w:b/>
          <w:bCs/>
          <w:i/>
          <w:iCs/>
          <w:sz w:val="28"/>
          <w:szCs w:val="28"/>
          <w:rtl/>
        </w:rPr>
        <w:lastRenderedPageBreak/>
        <w:t xml:space="preserve">د/ </w:t>
      </w:r>
      <w:r w:rsidRPr="007E69A9">
        <w:rPr>
          <w:rFonts w:hint="cs"/>
          <w:b/>
          <w:bCs/>
          <w:i/>
          <w:iCs/>
          <w:sz w:val="28"/>
          <w:szCs w:val="28"/>
          <w:rtl/>
          <w:lang w:bidi="ar-EG"/>
        </w:rPr>
        <w:t>كامل أنور سعيد</w:t>
      </w:r>
    </w:p>
    <w:p w:rsidR="004B3A23" w:rsidRDefault="004B3A23" w:rsidP="004B3A23">
      <w:pPr>
        <w:pStyle w:val="Affiliation"/>
        <w:bidi/>
        <w:rPr>
          <w:rFonts w:eastAsia="Times New Roman"/>
        </w:rPr>
      </w:pPr>
      <w:r>
        <w:rPr>
          <w:rFonts w:hint="cs"/>
          <w:i/>
          <w:iCs/>
          <w:rtl/>
        </w:rPr>
        <w:t>قسم اللغة العربية</w:t>
      </w:r>
    </w:p>
    <w:p w:rsidR="004B3A23" w:rsidRDefault="004B3A23" w:rsidP="004B3A23">
      <w:pPr>
        <w:pStyle w:val="Affiliation"/>
        <w:bidi/>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B3A23">
      <w:pPr>
        <w:pStyle w:val="Affiliation"/>
        <w:bidi/>
        <w:rPr>
          <w:rtl/>
          <w:lang w:bidi="ar-EG"/>
        </w:rPr>
      </w:pPr>
      <w:r>
        <w:rPr>
          <w:rFonts w:hint="cs"/>
          <w:rtl/>
        </w:rPr>
        <w:t>شاه علم - ماليزيا</w:t>
      </w:r>
    </w:p>
    <w:p w:rsidR="004B3A23" w:rsidRDefault="004B3A23" w:rsidP="004B3A23">
      <w:pPr>
        <w:pStyle w:val="Affiliation"/>
        <w:bidi/>
        <w:jc w:val="both"/>
        <w:rPr>
          <w:i/>
          <w:iCs/>
          <w:rtl/>
        </w:rPr>
      </w:pPr>
    </w:p>
    <w:p w:rsidR="00623CEB" w:rsidRPr="001D2450" w:rsidRDefault="00662934" w:rsidP="00623CEB">
      <w:pPr>
        <w:pStyle w:val="Affiliation"/>
        <w:bidi/>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623CEB">
      <w:pPr>
        <w:pStyle w:val="Affiliation"/>
        <w:bidi/>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623CEB">
      <w:pPr>
        <w:pStyle w:val="Affiliation"/>
        <w:bidi/>
        <w:rPr>
          <w:b/>
          <w:bCs/>
          <w:sz w:val="22"/>
          <w:szCs w:val="22"/>
          <w:rtl/>
          <w:lang w:bidi="ar-EG"/>
        </w:rPr>
      </w:pPr>
    </w:p>
    <w:p w:rsidR="00972672" w:rsidRDefault="00972672" w:rsidP="00972672">
      <w:pPr>
        <w:pStyle w:val="Affiliation"/>
        <w:bidi/>
        <w:rPr>
          <w:b/>
          <w:bCs/>
          <w:sz w:val="22"/>
          <w:szCs w:val="22"/>
          <w:rtl/>
          <w:lang w:bidi="ar-EG"/>
        </w:rPr>
      </w:pPr>
    </w:p>
    <w:p w:rsidR="00972672" w:rsidRDefault="00972672" w:rsidP="00972672">
      <w:pPr>
        <w:pStyle w:val="Affiliation"/>
        <w:bidi/>
        <w:rPr>
          <w:b/>
          <w:bCs/>
          <w:sz w:val="22"/>
          <w:szCs w:val="22"/>
          <w:rtl/>
          <w:lang w:bidi="ar-EG"/>
        </w:rPr>
      </w:pPr>
    </w:p>
    <w:p w:rsidR="004B3A23" w:rsidRDefault="00623CEB" w:rsidP="00972672">
      <w:pPr>
        <w:pStyle w:val="Affiliation"/>
        <w:bidi/>
        <w:rPr>
          <w:b/>
          <w:bCs/>
          <w:sz w:val="22"/>
          <w:szCs w:val="22"/>
          <w:rtl/>
          <w:lang w:bidi="ar-EG"/>
        </w:rPr>
      </w:pPr>
      <w:r>
        <w:rPr>
          <w:rFonts w:hint="cs"/>
          <w:b/>
          <w:bCs/>
          <w:sz w:val="22"/>
          <w:szCs w:val="22"/>
          <w:rtl/>
          <w:lang w:bidi="ar-EG"/>
        </w:rPr>
        <w:t xml:space="preserve"> </w:t>
      </w:r>
    </w:p>
    <w:p w:rsidR="00972672" w:rsidRDefault="00972672" w:rsidP="00623CEB">
      <w:pPr>
        <w:suppressAutoHyphens/>
        <w:ind w:firstLine="567"/>
        <w:jc w:val="both"/>
        <w:rPr>
          <w:b/>
          <w:bCs/>
          <w:sz w:val="22"/>
          <w:szCs w:val="22"/>
          <w:rtl/>
          <w:lang w:eastAsia="zh-CN"/>
        </w:rPr>
      </w:pPr>
    </w:p>
    <w:p w:rsidR="00943103" w:rsidRDefault="00623CEB" w:rsidP="00943103">
      <w:pPr>
        <w:suppressAutoHyphens/>
        <w:ind w:firstLine="567"/>
        <w:jc w:val="both"/>
        <w:rPr>
          <w:b/>
          <w:bCs/>
          <w:sz w:val="22"/>
          <w:szCs w:val="22"/>
          <w:rtl/>
          <w:lang w:eastAsia="zh-CN"/>
        </w:rPr>
      </w:pPr>
      <w:r w:rsidRPr="0036688B">
        <w:rPr>
          <w:rFonts w:hint="cs"/>
          <w:b/>
          <w:bCs/>
          <w:sz w:val="22"/>
          <w:szCs w:val="22"/>
          <w:rtl/>
          <w:lang w:eastAsia="zh-CN"/>
        </w:rPr>
        <w:t xml:space="preserve">الخلاصة : </w:t>
      </w:r>
      <w:r w:rsidR="00943103" w:rsidRPr="0036688B">
        <w:rPr>
          <w:rFonts w:hint="cs"/>
          <w:b/>
          <w:bCs/>
          <w:sz w:val="22"/>
          <w:szCs w:val="22"/>
          <w:rtl/>
          <w:lang w:eastAsia="zh-CN"/>
        </w:rPr>
        <w:t xml:space="preserve">هذا البحث يوضح </w:t>
      </w:r>
      <w:r w:rsidR="00943103">
        <w:rPr>
          <w:rFonts w:hint="cs"/>
          <w:b/>
          <w:bCs/>
          <w:sz w:val="22"/>
          <w:szCs w:val="22"/>
          <w:rtl/>
          <w:lang w:eastAsia="zh-CN"/>
        </w:rPr>
        <w:t xml:space="preserve">المعايير المكانية والزمانية التي وضعها النحاة للاحتجاج بالشاهد الشعري، وهل لاقت هذه المعايير قبولا لدى كل اللغويين ، ام وجد من خرج على تلك المعايير؟ </w:t>
      </w:r>
    </w:p>
    <w:p w:rsidR="001D2450" w:rsidRDefault="001D2450" w:rsidP="00943103">
      <w:pPr>
        <w:suppressAutoHyphens/>
        <w:ind w:firstLine="567"/>
        <w:jc w:val="both"/>
        <w:rPr>
          <w:b/>
          <w:bCs/>
          <w:sz w:val="22"/>
          <w:szCs w:val="22"/>
          <w:rtl/>
          <w:lang w:eastAsia="zh-CN"/>
        </w:rPr>
      </w:pPr>
    </w:p>
    <w:p w:rsidR="0036688B" w:rsidRDefault="0036688B" w:rsidP="00623CEB">
      <w:pPr>
        <w:suppressAutoHyphens/>
        <w:ind w:firstLine="567"/>
        <w:jc w:val="both"/>
        <w:rPr>
          <w:b/>
          <w:bCs/>
          <w:sz w:val="22"/>
          <w:szCs w:val="22"/>
          <w:rtl/>
          <w:lang w:eastAsia="zh-CN"/>
        </w:rPr>
      </w:pPr>
      <w:r w:rsidRPr="0036688B">
        <w:rPr>
          <w:rFonts w:hint="cs"/>
          <w:b/>
          <w:bCs/>
          <w:sz w:val="22"/>
          <w:szCs w:val="22"/>
          <w:rtl/>
          <w:lang w:eastAsia="zh-CN"/>
        </w:rPr>
        <w:t>الكلم</w:t>
      </w:r>
      <w:r w:rsidR="007E69A9">
        <w:rPr>
          <w:rFonts w:hint="cs"/>
          <w:b/>
          <w:bCs/>
          <w:sz w:val="22"/>
          <w:szCs w:val="22"/>
          <w:rtl/>
          <w:lang w:eastAsia="zh-CN"/>
        </w:rPr>
        <w:t>ات المفتاحية: ا</w:t>
      </w:r>
      <w:r w:rsidRPr="0036688B">
        <w:rPr>
          <w:rFonts w:hint="cs"/>
          <w:b/>
          <w:bCs/>
          <w:sz w:val="22"/>
          <w:szCs w:val="22"/>
          <w:rtl/>
          <w:lang w:eastAsia="zh-CN"/>
        </w:rPr>
        <w:t xml:space="preserve">لاستشهاد </w:t>
      </w:r>
      <w:r w:rsidRPr="0036688B">
        <w:rPr>
          <w:b/>
          <w:bCs/>
          <w:sz w:val="22"/>
          <w:szCs w:val="22"/>
          <w:rtl/>
          <w:lang w:eastAsia="zh-CN"/>
        </w:rPr>
        <w:t>–</w:t>
      </w:r>
      <w:r w:rsidRPr="0036688B">
        <w:rPr>
          <w:rFonts w:hint="cs"/>
          <w:b/>
          <w:bCs/>
          <w:sz w:val="22"/>
          <w:szCs w:val="22"/>
          <w:rtl/>
          <w:lang w:eastAsia="zh-CN"/>
        </w:rPr>
        <w:t xml:space="preserve"> الاحتجاج </w:t>
      </w:r>
      <w:r w:rsidRPr="0036688B">
        <w:rPr>
          <w:b/>
          <w:bCs/>
          <w:sz w:val="22"/>
          <w:szCs w:val="22"/>
          <w:rtl/>
          <w:lang w:eastAsia="zh-CN"/>
        </w:rPr>
        <w:t>–</w:t>
      </w:r>
      <w:r w:rsidRPr="0036688B">
        <w:rPr>
          <w:rFonts w:hint="cs"/>
          <w:b/>
          <w:bCs/>
          <w:sz w:val="22"/>
          <w:szCs w:val="22"/>
          <w:rtl/>
          <w:lang w:eastAsia="zh-CN"/>
        </w:rPr>
        <w:t xml:space="preserve"> </w:t>
      </w:r>
      <w:r w:rsidR="007E69A9">
        <w:rPr>
          <w:rFonts w:hint="cs"/>
          <w:b/>
          <w:bCs/>
          <w:sz w:val="22"/>
          <w:szCs w:val="22"/>
          <w:rtl/>
          <w:lang w:eastAsia="zh-CN"/>
        </w:rPr>
        <w:t xml:space="preserve">الشعر </w:t>
      </w:r>
      <w:r w:rsidR="007E69A9">
        <w:rPr>
          <w:b/>
          <w:bCs/>
          <w:sz w:val="22"/>
          <w:szCs w:val="22"/>
          <w:rtl/>
          <w:lang w:eastAsia="zh-CN"/>
        </w:rPr>
        <w:t>–</w:t>
      </w:r>
      <w:r w:rsidR="007E69A9">
        <w:rPr>
          <w:rFonts w:hint="cs"/>
          <w:b/>
          <w:bCs/>
          <w:sz w:val="22"/>
          <w:szCs w:val="22"/>
          <w:rtl/>
          <w:lang w:eastAsia="zh-CN"/>
        </w:rPr>
        <w:t xml:space="preserve"> معايير الاحتجاج - </w:t>
      </w:r>
      <w:r w:rsidRPr="0036688B">
        <w:rPr>
          <w:rFonts w:hint="cs"/>
          <w:b/>
          <w:bCs/>
          <w:sz w:val="22"/>
          <w:szCs w:val="22"/>
          <w:rtl/>
          <w:lang w:eastAsia="zh-CN"/>
        </w:rPr>
        <w:t xml:space="preserve">المعاجم </w:t>
      </w:r>
      <w:r>
        <w:rPr>
          <w:b/>
          <w:bCs/>
          <w:sz w:val="22"/>
          <w:szCs w:val="22"/>
          <w:rtl/>
          <w:lang w:eastAsia="zh-CN"/>
        </w:rPr>
        <w:t>–</w:t>
      </w:r>
      <w:r w:rsidRPr="0036688B">
        <w:rPr>
          <w:rFonts w:hint="cs"/>
          <w:b/>
          <w:bCs/>
          <w:sz w:val="22"/>
          <w:szCs w:val="22"/>
          <w:rtl/>
          <w:lang w:eastAsia="zh-CN"/>
        </w:rPr>
        <w:t xml:space="preserve"> </w:t>
      </w:r>
      <w:r>
        <w:rPr>
          <w:rFonts w:hint="cs"/>
          <w:b/>
          <w:bCs/>
          <w:sz w:val="22"/>
          <w:szCs w:val="22"/>
          <w:rtl/>
          <w:lang w:eastAsia="zh-CN"/>
        </w:rPr>
        <w:t xml:space="preserve">اللغويون </w:t>
      </w:r>
      <w:r>
        <w:rPr>
          <w:b/>
          <w:bCs/>
          <w:sz w:val="22"/>
          <w:szCs w:val="22"/>
          <w:rtl/>
          <w:lang w:eastAsia="zh-CN"/>
        </w:rPr>
        <w:t>–</w:t>
      </w:r>
      <w:r>
        <w:rPr>
          <w:rFonts w:hint="cs"/>
          <w:b/>
          <w:bCs/>
          <w:sz w:val="22"/>
          <w:szCs w:val="22"/>
          <w:rtl/>
          <w:lang w:eastAsia="zh-CN"/>
        </w:rPr>
        <w:t xml:space="preserve"> النحاة.</w:t>
      </w:r>
    </w:p>
    <w:p w:rsidR="005C61A2" w:rsidRDefault="005C61A2" w:rsidP="00623CEB">
      <w:pPr>
        <w:suppressAutoHyphens/>
        <w:ind w:firstLine="567"/>
        <w:jc w:val="both"/>
        <w:rPr>
          <w:b/>
          <w:bCs/>
          <w:sz w:val="22"/>
          <w:szCs w:val="22"/>
          <w:rtl/>
          <w:lang w:eastAsia="zh-CN"/>
        </w:rPr>
      </w:pPr>
    </w:p>
    <w:p w:rsidR="0036688B" w:rsidRDefault="005C61A2" w:rsidP="005C61A2">
      <w:pPr>
        <w:suppressAutoHyphens/>
        <w:jc w:val="center"/>
        <w:rPr>
          <w:b/>
          <w:bCs/>
          <w:sz w:val="32"/>
          <w:szCs w:val="32"/>
          <w:rtl/>
          <w:lang w:eastAsia="zh-CN" w:bidi="ar-EG"/>
        </w:rPr>
      </w:pPr>
      <w:r>
        <w:rPr>
          <w:b/>
          <w:bCs/>
          <w:sz w:val="32"/>
          <w:szCs w:val="32"/>
          <w:lang w:eastAsia="zh-CN" w:bidi="ar-EG"/>
        </w:rPr>
        <w:t>I</w:t>
      </w:r>
      <w:r>
        <w:rPr>
          <w:rFonts w:hint="cs"/>
          <w:b/>
          <w:bCs/>
          <w:sz w:val="32"/>
          <w:szCs w:val="32"/>
          <w:rtl/>
          <w:lang w:eastAsia="zh-CN" w:bidi="ar-EG"/>
        </w:rPr>
        <w:t>.</w:t>
      </w:r>
      <w:r w:rsidR="0036688B" w:rsidRPr="005C61A2">
        <w:rPr>
          <w:rFonts w:hint="cs"/>
          <w:b/>
          <w:bCs/>
          <w:sz w:val="28"/>
          <w:szCs w:val="28"/>
          <w:rtl/>
          <w:lang w:eastAsia="zh-CN" w:bidi="ar-EG"/>
        </w:rPr>
        <w:t>المقدمة</w:t>
      </w:r>
    </w:p>
    <w:p w:rsidR="005C61A2" w:rsidRPr="005C61A2" w:rsidRDefault="005C61A2" w:rsidP="005C61A2">
      <w:pPr>
        <w:suppressAutoHyphens/>
        <w:jc w:val="center"/>
        <w:rPr>
          <w:b/>
          <w:bCs/>
          <w:sz w:val="32"/>
          <w:szCs w:val="32"/>
          <w:rtl/>
          <w:lang w:eastAsia="zh-CN" w:bidi="ar-EG"/>
        </w:rPr>
      </w:pPr>
    </w:p>
    <w:p w:rsidR="005C61A2" w:rsidRDefault="00943103" w:rsidP="005C61A2">
      <w:pPr>
        <w:suppressAutoHyphens/>
        <w:ind w:firstLine="567"/>
        <w:jc w:val="both"/>
        <w:rPr>
          <w:b/>
          <w:bCs/>
          <w:sz w:val="22"/>
          <w:szCs w:val="22"/>
          <w:rtl/>
          <w:lang w:eastAsia="zh-CN"/>
        </w:rPr>
      </w:pPr>
      <w:r w:rsidRPr="002D3D60">
        <w:rPr>
          <w:rFonts w:hint="cs"/>
          <w:b/>
          <w:bCs/>
          <w:sz w:val="22"/>
          <w:szCs w:val="22"/>
          <w:rtl/>
          <w:lang w:eastAsia="zh-CN"/>
        </w:rPr>
        <w:t>إن الواقع الفعلى  يكشف لنا عن قبائل غير التي نصَّ عليها الفارابي سابقا في تحديده للقبائل التي يؤخذ</w:t>
      </w:r>
      <w:r w:rsidRPr="00943103">
        <w:rPr>
          <w:rFonts w:hint="cs"/>
          <w:b/>
          <w:bCs/>
          <w:sz w:val="22"/>
          <w:szCs w:val="22"/>
          <w:rtl/>
          <w:lang w:eastAsia="zh-CN"/>
        </w:rPr>
        <w:t xml:space="preserve"> </w:t>
      </w:r>
      <w:r>
        <w:rPr>
          <w:rFonts w:hint="cs"/>
          <w:b/>
          <w:bCs/>
          <w:sz w:val="22"/>
          <w:szCs w:val="22"/>
          <w:rtl/>
          <w:lang w:eastAsia="zh-CN"/>
        </w:rPr>
        <w:t>عنها ، و</w:t>
      </w:r>
      <w:r w:rsidRPr="002D3D60">
        <w:rPr>
          <w:rFonts w:hint="cs"/>
          <w:b/>
          <w:bCs/>
          <w:sz w:val="22"/>
          <w:szCs w:val="22"/>
          <w:rtl/>
          <w:lang w:eastAsia="zh-CN"/>
        </w:rPr>
        <w:t>إذا نظرنا إلى معاجمنا العربية نجد أنها لم تلتزم التزاما تامًّا بهذه المعايير، حيث إنها استشهدت بشعراء ما بعد عصور الاحتجاج اللغوي</w:t>
      </w:r>
    </w:p>
    <w:p w:rsidR="00943103" w:rsidRDefault="00943103" w:rsidP="005C61A2">
      <w:pPr>
        <w:suppressAutoHyphens/>
        <w:ind w:firstLine="567"/>
        <w:jc w:val="both"/>
        <w:rPr>
          <w:b/>
          <w:bCs/>
          <w:sz w:val="22"/>
          <w:szCs w:val="22"/>
          <w:rtl/>
          <w:lang w:eastAsia="zh-CN"/>
        </w:rPr>
      </w:pPr>
    </w:p>
    <w:p w:rsidR="005C61A2" w:rsidRDefault="005C61A2" w:rsidP="005C61A2">
      <w:pPr>
        <w:suppressAutoHyphens/>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A965E9" w:rsidRPr="005C61A2" w:rsidRDefault="00A965E9" w:rsidP="00A965E9">
      <w:pPr>
        <w:suppressAutoHyphens/>
        <w:ind w:firstLine="567"/>
        <w:rPr>
          <w:b/>
          <w:bCs/>
          <w:sz w:val="28"/>
          <w:szCs w:val="28"/>
          <w:rtl/>
          <w:lang w:eastAsia="zh-CN" w:bidi="ar-EG"/>
        </w:rPr>
      </w:pPr>
    </w:p>
    <w:p w:rsidR="00A965E9" w:rsidRPr="00A965E9" w:rsidRDefault="00A965E9" w:rsidP="00A965E9">
      <w:pPr>
        <w:pStyle w:val="Heading2"/>
        <w:rPr>
          <w:sz w:val="22"/>
          <w:szCs w:val="22"/>
          <w:u w:val="none"/>
          <w:rtl/>
        </w:rPr>
      </w:pPr>
      <w:r w:rsidRPr="00A965E9">
        <w:rPr>
          <w:rFonts w:hint="cs"/>
          <w:sz w:val="22"/>
          <w:szCs w:val="22"/>
          <w:u w:val="none"/>
          <w:rtl/>
        </w:rPr>
        <w:t>تحدثت سابقا عن معايير الاحتجاج المكانية والزمانية التي وضعها العلماء للاحتجاج بالشعر ، وفي هذه المقالة أقف مع وقفة سريعة مع هذه المعايير من حيث القبول والرفض ، ومدى ملاءمتها للواقع اللغوي أم لا.</w:t>
      </w:r>
    </w:p>
    <w:p w:rsidR="00A965E9" w:rsidRPr="00A965E9" w:rsidRDefault="00A965E9" w:rsidP="00A965E9">
      <w:pPr>
        <w:rPr>
          <w:rtl/>
          <w:lang w:eastAsia="zh-CN"/>
        </w:rPr>
      </w:pPr>
    </w:p>
    <w:p w:rsidR="002D3D60" w:rsidRPr="00A965E9" w:rsidRDefault="002D3D60" w:rsidP="00A965E9">
      <w:pPr>
        <w:pStyle w:val="Heading2"/>
        <w:rPr>
          <w:i/>
          <w:iCs/>
          <w:rtl/>
        </w:rPr>
      </w:pPr>
      <w:r w:rsidRPr="00A965E9">
        <w:rPr>
          <w:rFonts w:hint="cs"/>
          <w:rtl/>
        </w:rPr>
        <w:t>معايير الاحتجاج في الميزان</w:t>
      </w:r>
      <w:r w:rsidR="00A965E9">
        <w:rPr>
          <w:rFonts w:hint="cs"/>
          <w:i/>
          <w:iCs/>
          <w:rtl/>
        </w:rPr>
        <w:t>:</w:t>
      </w:r>
    </w:p>
    <w:p w:rsidR="00A965E9"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مما لاشك فيه أن هذه المعايير لم تكن محل اتفاق كل اللغويين، سواء المكانية منها أم الزمانية، حيث نجد خروجًا واضحًا عليها، سواء في مجال متن اللغة أم في مجال القواعد، ولكن سيقتصر حديثي هنا </w:t>
      </w:r>
    </w:p>
    <w:p w:rsidR="00A965E9" w:rsidRDefault="00A965E9" w:rsidP="002D3D60">
      <w:pPr>
        <w:spacing w:line="360" w:lineRule="auto"/>
        <w:ind w:firstLine="720"/>
        <w:jc w:val="both"/>
        <w:rPr>
          <w:b/>
          <w:bCs/>
          <w:sz w:val="22"/>
          <w:szCs w:val="22"/>
          <w:rtl/>
          <w:lang w:eastAsia="zh-CN"/>
        </w:rPr>
      </w:pPr>
    </w:p>
    <w:p w:rsidR="00A965E9" w:rsidRDefault="00A965E9" w:rsidP="002D3D60">
      <w:pPr>
        <w:spacing w:line="360" w:lineRule="auto"/>
        <w:ind w:firstLine="720"/>
        <w:jc w:val="both"/>
        <w:rPr>
          <w:b/>
          <w:bCs/>
          <w:sz w:val="22"/>
          <w:szCs w:val="22"/>
          <w:rtl/>
          <w:lang w:eastAsia="zh-CN"/>
        </w:rPr>
      </w:pPr>
    </w:p>
    <w:p w:rsidR="00A965E9" w:rsidRDefault="00A965E9" w:rsidP="002D3D60">
      <w:pPr>
        <w:spacing w:line="360" w:lineRule="auto"/>
        <w:ind w:firstLine="720"/>
        <w:jc w:val="both"/>
        <w:rPr>
          <w:b/>
          <w:bCs/>
          <w:sz w:val="22"/>
          <w:szCs w:val="22"/>
          <w:rtl/>
          <w:lang w:eastAsia="zh-CN"/>
        </w:rPr>
      </w:pPr>
    </w:p>
    <w:p w:rsidR="002D3D60" w:rsidRPr="002D3D60" w:rsidRDefault="002D3D60" w:rsidP="00446FAC">
      <w:pPr>
        <w:spacing w:line="360" w:lineRule="auto"/>
        <w:jc w:val="both"/>
        <w:rPr>
          <w:b/>
          <w:bCs/>
          <w:sz w:val="22"/>
          <w:szCs w:val="22"/>
          <w:rtl/>
          <w:lang w:eastAsia="zh-CN"/>
        </w:rPr>
      </w:pPr>
      <w:r w:rsidRPr="002D3D60">
        <w:rPr>
          <w:rFonts w:hint="cs"/>
          <w:b/>
          <w:bCs/>
          <w:sz w:val="22"/>
          <w:szCs w:val="22"/>
          <w:rtl/>
          <w:lang w:eastAsia="zh-CN"/>
        </w:rPr>
        <w:t>على مجال متن اللغة وبخاصة مجال المعجم أو مجال الدلالة فقط.</w:t>
      </w:r>
    </w:p>
    <w:p w:rsidR="002D3D60" w:rsidRPr="00A965E9" w:rsidRDefault="002D3D60" w:rsidP="002D3D60">
      <w:pPr>
        <w:spacing w:line="360" w:lineRule="auto"/>
        <w:ind w:firstLine="720"/>
        <w:jc w:val="both"/>
        <w:rPr>
          <w:b/>
          <w:bCs/>
          <w:u w:val="single"/>
          <w:rtl/>
          <w:lang w:eastAsia="zh-CN"/>
        </w:rPr>
      </w:pPr>
      <w:r w:rsidRPr="00A965E9">
        <w:rPr>
          <w:rFonts w:hint="cs"/>
          <w:b/>
          <w:bCs/>
          <w:u w:val="single"/>
          <w:rtl/>
          <w:lang w:eastAsia="zh-CN"/>
        </w:rPr>
        <w:t>أولا: الخروج على المعايير المكانية:</w:t>
      </w:r>
    </w:p>
    <w:p w:rsidR="00A965E9"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 xml:space="preserve">إن الواقع الفعلى  يكشف لنا عن قبائل غير التي نصَّ عليها الفارابي سابقا في تحديده للقبائل التي يؤخذ عنها، فإذا نظرنا في معجم لسان العرب ـ حيث </w:t>
      </w:r>
    </w:p>
    <w:p w:rsidR="002D3D60" w:rsidRPr="002D3D60" w:rsidRDefault="002D3D60" w:rsidP="00A965E9">
      <w:pPr>
        <w:spacing w:line="360" w:lineRule="auto"/>
        <w:jc w:val="both"/>
        <w:rPr>
          <w:b/>
          <w:bCs/>
          <w:sz w:val="22"/>
          <w:szCs w:val="22"/>
          <w:rtl/>
          <w:lang w:eastAsia="zh-CN"/>
        </w:rPr>
      </w:pPr>
      <w:r w:rsidRPr="002D3D60">
        <w:rPr>
          <w:rFonts w:hint="cs"/>
          <w:b/>
          <w:bCs/>
          <w:sz w:val="22"/>
          <w:szCs w:val="22"/>
          <w:rtl/>
          <w:lang w:eastAsia="zh-CN"/>
        </w:rPr>
        <w:t>إنه يجمع ثلاثة معاجم من آصل معاجمنا اللغوية هي: التهذيب والصحاح والمحكم بالإضافة إلى النهاية في غريب الحديث وتحقيقات ابن بري ـ نجد به احتجاجات لغوية غير التي نص عليها الفارابي، فنجد شعراء من:</w:t>
      </w:r>
    </w:p>
    <w:p w:rsidR="002D3D60" w:rsidRPr="002D3D60" w:rsidRDefault="002D3D60" w:rsidP="002D3D60">
      <w:pPr>
        <w:numPr>
          <w:ilvl w:val="0"/>
          <w:numId w:val="7"/>
        </w:numPr>
        <w:tabs>
          <w:tab w:val="left" w:pos="926"/>
        </w:tabs>
        <w:spacing w:line="360" w:lineRule="auto"/>
        <w:ind w:left="0" w:right="0" w:firstLine="720"/>
        <w:jc w:val="both"/>
        <w:rPr>
          <w:b/>
          <w:bCs/>
          <w:sz w:val="22"/>
          <w:szCs w:val="22"/>
          <w:lang w:eastAsia="zh-CN"/>
        </w:rPr>
      </w:pPr>
      <w:r w:rsidRPr="002D3D60">
        <w:rPr>
          <w:rFonts w:hint="cs"/>
          <w:b/>
          <w:bCs/>
          <w:sz w:val="22"/>
          <w:szCs w:val="22"/>
          <w:rtl/>
          <w:lang w:eastAsia="zh-CN"/>
        </w:rPr>
        <w:t xml:space="preserve">قضاعة : حيث احتج اللسان بشعر الشاعر (علة الجرمى) _ وجرم بطن من قضاعة ـ فنجد له ستة أبيات في سبعة تراكيب مختلفة. </w:t>
      </w:r>
    </w:p>
    <w:p w:rsidR="002D3D60" w:rsidRPr="002D3D60" w:rsidRDefault="002D3D60" w:rsidP="002D3D60">
      <w:pPr>
        <w:numPr>
          <w:ilvl w:val="0"/>
          <w:numId w:val="7"/>
        </w:numPr>
        <w:tabs>
          <w:tab w:val="left" w:pos="926"/>
        </w:tabs>
        <w:spacing w:line="360" w:lineRule="auto"/>
        <w:ind w:left="0" w:right="0" w:firstLine="720"/>
        <w:jc w:val="both"/>
        <w:rPr>
          <w:b/>
          <w:bCs/>
          <w:sz w:val="22"/>
          <w:szCs w:val="22"/>
          <w:lang w:eastAsia="zh-CN"/>
        </w:rPr>
      </w:pPr>
      <w:r w:rsidRPr="002D3D60">
        <w:rPr>
          <w:rFonts w:hint="cs"/>
          <w:b/>
          <w:bCs/>
          <w:sz w:val="22"/>
          <w:szCs w:val="22"/>
          <w:rtl/>
          <w:lang w:eastAsia="zh-CN"/>
        </w:rPr>
        <w:t>غسان : احتج اللسان بشعر (عدي بن الرعلاء الغساني) فنجد له ثلاثة أبيات في مادة (موت). وأيضا عبد المسيح بن نقيلة الغساني له أربعة عشر بيتا في مادتين (سطح) (وثكن). وكذلك الخرع بن سنان نجد له ثلاثة أبيات في مادة (حسد).</w:t>
      </w:r>
    </w:p>
    <w:p w:rsidR="002D3D60" w:rsidRPr="002D3D60" w:rsidRDefault="002D3D60" w:rsidP="002D3D60">
      <w:pPr>
        <w:numPr>
          <w:ilvl w:val="0"/>
          <w:numId w:val="7"/>
        </w:numPr>
        <w:tabs>
          <w:tab w:val="left" w:pos="926"/>
        </w:tabs>
        <w:spacing w:line="360" w:lineRule="auto"/>
        <w:ind w:left="0" w:right="0" w:firstLine="720"/>
        <w:jc w:val="both"/>
        <w:rPr>
          <w:b/>
          <w:bCs/>
          <w:sz w:val="22"/>
          <w:szCs w:val="22"/>
          <w:lang w:eastAsia="zh-CN"/>
        </w:rPr>
      </w:pPr>
      <w:r w:rsidRPr="002D3D60">
        <w:rPr>
          <w:rFonts w:hint="cs"/>
          <w:b/>
          <w:bCs/>
          <w:sz w:val="22"/>
          <w:szCs w:val="22"/>
          <w:rtl/>
          <w:lang w:eastAsia="zh-CN"/>
        </w:rPr>
        <w:t>حنيفة</w:t>
      </w:r>
      <w:r w:rsidRPr="002D3D60">
        <w:rPr>
          <w:rFonts w:hint="cs"/>
          <w:b/>
          <w:bCs/>
          <w:sz w:val="22"/>
          <w:szCs w:val="22"/>
          <w:rtl/>
          <w:lang w:eastAsia="zh-CN"/>
        </w:rPr>
        <w:tab/>
        <w:t xml:space="preserve"> : نجد أربعة أبيات لعبد الله بن ثعلبة الحنفي.</w:t>
      </w:r>
    </w:p>
    <w:p w:rsidR="002D3D60" w:rsidRPr="002D3D60" w:rsidRDefault="002D3D60" w:rsidP="002D3D60">
      <w:pPr>
        <w:numPr>
          <w:ilvl w:val="0"/>
          <w:numId w:val="7"/>
        </w:numPr>
        <w:tabs>
          <w:tab w:val="left" w:pos="926"/>
        </w:tabs>
        <w:spacing w:line="360" w:lineRule="auto"/>
        <w:ind w:left="0" w:right="0" w:firstLine="720"/>
        <w:jc w:val="both"/>
        <w:rPr>
          <w:b/>
          <w:bCs/>
          <w:sz w:val="22"/>
          <w:szCs w:val="22"/>
          <w:lang w:eastAsia="zh-CN"/>
        </w:rPr>
      </w:pPr>
      <w:r w:rsidRPr="002D3D60">
        <w:rPr>
          <w:rFonts w:hint="cs"/>
          <w:b/>
          <w:bCs/>
          <w:sz w:val="22"/>
          <w:szCs w:val="22"/>
          <w:rtl/>
          <w:lang w:eastAsia="zh-CN"/>
        </w:rPr>
        <w:t>تغلب</w:t>
      </w:r>
      <w:r w:rsidRPr="002D3D60">
        <w:rPr>
          <w:rFonts w:hint="cs"/>
          <w:b/>
          <w:bCs/>
          <w:sz w:val="22"/>
          <w:szCs w:val="22"/>
          <w:rtl/>
          <w:lang w:eastAsia="zh-CN"/>
        </w:rPr>
        <w:tab/>
        <w:t>: ونجد سبعة أبيات للأخنس بن شهاب وأيضا نجد أربعة أبيات وثلاثمائة بيت في أكثر من مائة تركيب للشاعر المشهور الأخطل.</w:t>
      </w:r>
    </w:p>
    <w:p w:rsidR="002D3D60" w:rsidRPr="002D3D60" w:rsidRDefault="002D3D60" w:rsidP="002D3D60">
      <w:pPr>
        <w:numPr>
          <w:ilvl w:val="0"/>
          <w:numId w:val="7"/>
        </w:numPr>
        <w:tabs>
          <w:tab w:val="left" w:pos="926"/>
        </w:tabs>
        <w:spacing w:line="360" w:lineRule="auto"/>
        <w:ind w:left="0" w:right="0" w:firstLine="720"/>
        <w:jc w:val="both"/>
        <w:rPr>
          <w:b/>
          <w:bCs/>
          <w:sz w:val="22"/>
          <w:szCs w:val="22"/>
          <w:lang w:eastAsia="zh-CN"/>
        </w:rPr>
      </w:pPr>
      <w:r w:rsidRPr="002D3D60">
        <w:rPr>
          <w:rFonts w:hint="cs"/>
          <w:b/>
          <w:bCs/>
          <w:sz w:val="22"/>
          <w:szCs w:val="22"/>
          <w:rtl/>
          <w:lang w:eastAsia="zh-CN"/>
        </w:rPr>
        <w:lastRenderedPageBreak/>
        <w:t>ثقيف</w:t>
      </w:r>
      <w:r w:rsidRPr="002D3D60">
        <w:rPr>
          <w:rFonts w:hint="cs"/>
          <w:b/>
          <w:bCs/>
          <w:sz w:val="22"/>
          <w:szCs w:val="22"/>
          <w:rtl/>
          <w:lang w:eastAsia="zh-CN"/>
        </w:rPr>
        <w:tab/>
        <w:t>: ونجد لأبي الصلت الثقفي شاهدًا في مادة (عرم) ولعبد الله بن نمير أربعة أبيات في أربعة تراكيب. وكذلك لأمية بن أبي الصلت أربعة وتسعين بيتا في أكثر من تسعين موضعًا.</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أما الحواضر التي أُخذ عن شعرائها في اللسان:</w:t>
      </w:r>
    </w:p>
    <w:p w:rsidR="002D3D60" w:rsidRPr="002D3D60" w:rsidRDefault="00A965E9" w:rsidP="002D3D60">
      <w:pPr>
        <w:numPr>
          <w:ilvl w:val="0"/>
          <w:numId w:val="8"/>
        </w:numPr>
        <w:tabs>
          <w:tab w:val="left" w:pos="926"/>
          <w:tab w:val="left" w:pos="1106"/>
        </w:tabs>
        <w:spacing w:line="360" w:lineRule="auto"/>
        <w:ind w:left="0" w:right="0" w:firstLine="720"/>
        <w:jc w:val="both"/>
        <w:rPr>
          <w:b/>
          <w:bCs/>
          <w:sz w:val="22"/>
          <w:szCs w:val="22"/>
          <w:rtl/>
          <w:lang w:eastAsia="zh-CN"/>
        </w:rPr>
      </w:pPr>
      <w:r>
        <w:rPr>
          <w:rFonts w:hint="cs"/>
          <w:b/>
          <w:bCs/>
          <w:sz w:val="22"/>
          <w:szCs w:val="22"/>
          <w:rtl/>
          <w:lang w:eastAsia="zh-CN"/>
        </w:rPr>
        <w:t>من شعراء المدينة</w:t>
      </w:r>
      <w:r w:rsidR="002D3D60" w:rsidRPr="002D3D60">
        <w:rPr>
          <w:rFonts w:hint="cs"/>
          <w:b/>
          <w:bCs/>
          <w:sz w:val="22"/>
          <w:szCs w:val="22"/>
          <w:rtl/>
          <w:lang w:eastAsia="zh-CN"/>
        </w:rPr>
        <w:t>: حسان بن ثابت، وكعب بن مالك وعبد الله بن رواحة وغيرهم.</w:t>
      </w:r>
    </w:p>
    <w:p w:rsidR="002D3D60" w:rsidRPr="002D3D60" w:rsidRDefault="002D3D60" w:rsidP="002D3D60">
      <w:pPr>
        <w:numPr>
          <w:ilvl w:val="0"/>
          <w:numId w:val="8"/>
        </w:numPr>
        <w:tabs>
          <w:tab w:val="left" w:pos="1106"/>
        </w:tabs>
        <w:spacing w:line="360" w:lineRule="auto"/>
        <w:ind w:left="0" w:right="0" w:firstLine="720"/>
        <w:jc w:val="both"/>
        <w:rPr>
          <w:b/>
          <w:bCs/>
          <w:sz w:val="22"/>
          <w:szCs w:val="22"/>
          <w:lang w:eastAsia="zh-CN"/>
        </w:rPr>
      </w:pPr>
      <w:r w:rsidRPr="002D3D60">
        <w:rPr>
          <w:rFonts w:hint="cs"/>
          <w:b/>
          <w:bCs/>
          <w:sz w:val="22"/>
          <w:szCs w:val="22"/>
          <w:rtl/>
          <w:lang w:eastAsia="zh-CN"/>
        </w:rPr>
        <w:t>ومن شعراء مكة : أبو طالب بن عبد المطلب، والعباس  رضي الله عنه.</w:t>
      </w:r>
    </w:p>
    <w:p w:rsidR="002D3D60" w:rsidRPr="002D3D60" w:rsidRDefault="002D3D60" w:rsidP="002D3D60">
      <w:pPr>
        <w:numPr>
          <w:ilvl w:val="0"/>
          <w:numId w:val="8"/>
        </w:numPr>
        <w:tabs>
          <w:tab w:val="left" w:pos="1106"/>
        </w:tabs>
        <w:spacing w:line="360" w:lineRule="auto"/>
        <w:ind w:left="0" w:right="0" w:firstLine="720"/>
        <w:jc w:val="both"/>
        <w:rPr>
          <w:b/>
          <w:bCs/>
          <w:sz w:val="22"/>
          <w:szCs w:val="22"/>
          <w:lang w:eastAsia="zh-CN"/>
        </w:rPr>
      </w:pPr>
      <w:r w:rsidRPr="002D3D60">
        <w:rPr>
          <w:rFonts w:hint="cs"/>
          <w:b/>
          <w:bCs/>
          <w:sz w:val="22"/>
          <w:szCs w:val="22"/>
          <w:rtl/>
          <w:lang w:eastAsia="zh-CN"/>
        </w:rPr>
        <w:t>ومن الكــوفة : الكميت والطرماح.</w:t>
      </w:r>
    </w:p>
    <w:p w:rsidR="002D3D60" w:rsidRPr="002D3D60" w:rsidRDefault="002D3D60" w:rsidP="002D3D60">
      <w:pPr>
        <w:numPr>
          <w:ilvl w:val="0"/>
          <w:numId w:val="8"/>
        </w:numPr>
        <w:tabs>
          <w:tab w:val="left" w:pos="1106"/>
        </w:tabs>
        <w:spacing w:line="360" w:lineRule="auto"/>
        <w:ind w:left="0" w:right="0" w:firstLine="720"/>
        <w:jc w:val="both"/>
        <w:rPr>
          <w:b/>
          <w:bCs/>
          <w:sz w:val="22"/>
          <w:szCs w:val="22"/>
          <w:lang w:eastAsia="zh-CN"/>
        </w:rPr>
      </w:pPr>
      <w:r w:rsidRPr="002D3D60">
        <w:rPr>
          <w:rFonts w:hint="cs"/>
          <w:b/>
          <w:bCs/>
          <w:sz w:val="22"/>
          <w:szCs w:val="22"/>
          <w:rtl/>
          <w:lang w:eastAsia="zh-CN"/>
        </w:rPr>
        <w:t>ومن البحـرين : المثقب العبدي(</w:t>
      </w:r>
      <w:r w:rsidRPr="002D3D60">
        <w:rPr>
          <w:b/>
          <w:bCs/>
          <w:sz w:val="22"/>
          <w:szCs w:val="22"/>
          <w:rtl/>
          <w:lang w:eastAsia="zh-CN"/>
        </w:rPr>
        <w:footnoteReference w:id="1"/>
      </w:r>
      <w:r w:rsidRPr="002D3D60">
        <w:rPr>
          <w:rFonts w:hint="cs"/>
          <w:b/>
          <w:bCs/>
          <w:sz w:val="22"/>
          <w:szCs w:val="22"/>
          <w:rtl/>
          <w:lang w:eastAsia="zh-CN"/>
        </w:rPr>
        <w:t>).</w:t>
      </w:r>
    </w:p>
    <w:p w:rsidR="00EC4FD0" w:rsidRPr="00831274" w:rsidRDefault="00EC4FD0" w:rsidP="00EC4FD0">
      <w:pPr>
        <w:suppressAutoHyphens/>
        <w:ind w:firstLine="567"/>
        <w:jc w:val="both"/>
        <w:rPr>
          <w:b/>
          <w:bCs/>
          <w:sz w:val="28"/>
          <w:szCs w:val="28"/>
          <w:rtl/>
          <w:lang w:eastAsia="zh-CN"/>
        </w:rPr>
      </w:pPr>
      <w:r w:rsidRPr="00831274">
        <w:rPr>
          <w:rFonts w:hint="cs"/>
          <w:b/>
          <w:bCs/>
          <w:sz w:val="28"/>
          <w:szCs w:val="28"/>
          <w:rtl/>
          <w:lang w:eastAsia="zh-CN"/>
        </w:rPr>
        <w:t>المصادر والمراجع</w:t>
      </w:r>
      <w:r>
        <w:rPr>
          <w:rFonts w:hint="cs"/>
          <w:b/>
          <w:bCs/>
          <w:sz w:val="28"/>
          <w:szCs w:val="28"/>
          <w:rtl/>
          <w:lang w:eastAsia="zh-CN"/>
        </w:rPr>
        <w:t>:</w:t>
      </w:r>
    </w:p>
    <w:p w:rsidR="00EC4FD0" w:rsidRPr="00831274" w:rsidRDefault="00EC4FD0" w:rsidP="00EC4FD0">
      <w:pPr>
        <w:suppressAutoHyphens/>
        <w:ind w:firstLine="567"/>
        <w:jc w:val="both"/>
        <w:rPr>
          <w:b/>
          <w:bCs/>
          <w:sz w:val="22"/>
          <w:szCs w:val="22"/>
          <w:rtl/>
          <w:lang w:eastAsia="zh-CN"/>
        </w:rPr>
      </w:pPr>
    </w:p>
    <w:p w:rsidR="00EC4FD0" w:rsidRPr="00831274" w:rsidRDefault="00EC4FD0" w:rsidP="00EC4FD0">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 xml:space="preserve">الاستشهاد والاحتجاج باللغة، محمد عيد، عالم الكتب، ط3، 1366هـ/1988م. </w:t>
      </w:r>
    </w:p>
    <w:p w:rsidR="00EC4FD0" w:rsidRPr="00831274" w:rsidRDefault="00EC4FD0" w:rsidP="00EC4FD0">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التفكير النحوى،علي أبو المكارم، منشورات الجامعة الليبية، كلية التربية، مطابع دار القلم، بيروت ، لبنان، 1972م .  </w:t>
      </w:r>
    </w:p>
    <w:p w:rsidR="00EC4FD0" w:rsidRPr="00831274" w:rsidRDefault="00EC4FD0" w:rsidP="00EC4FD0">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النحو العربي، محمد خير الحلواني، مطبعة الشرق، حلب، 1979م. </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أصول النحو العربي،محمود أحمد نحلة، دار العلوم العربية، بيروت، ط1، 1407هـ/1987م.</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الاقتراح في علم أصول النحو، جلال الدين السيوطي، تحقيق</w:t>
      </w:r>
      <w:r w:rsidRPr="00831274">
        <w:rPr>
          <w:rFonts w:eastAsia="Times New Roman" w:hint="cs"/>
          <w:b/>
          <w:bCs/>
          <w:sz w:val="22"/>
          <w:szCs w:val="22"/>
          <w:rtl/>
          <w:cs/>
          <w:lang w:eastAsia="zh-CN"/>
        </w:rPr>
        <w:t xml:space="preserve">: أحمد محمد قاسم، مطبعة السعادة، القاهرة، </w:t>
      </w:r>
      <w:r w:rsidRPr="00831274">
        <w:rPr>
          <w:rFonts w:eastAsia="Times New Roman" w:hint="cs"/>
          <w:b/>
          <w:bCs/>
          <w:sz w:val="22"/>
          <w:szCs w:val="22"/>
          <w:rtl/>
          <w:lang w:eastAsia="zh-CN"/>
        </w:rPr>
        <w:t xml:space="preserve">ط1، </w:t>
      </w:r>
      <w:r w:rsidRPr="00831274">
        <w:rPr>
          <w:rFonts w:eastAsia="Times New Roman" w:hint="cs"/>
          <w:b/>
          <w:bCs/>
          <w:sz w:val="22"/>
          <w:szCs w:val="22"/>
          <w:rtl/>
          <w:cs/>
          <w:lang w:eastAsia="zh-CN"/>
        </w:rPr>
        <w:t>1366هـ/1976</w:t>
      </w:r>
      <w:r w:rsidRPr="00831274">
        <w:rPr>
          <w:rFonts w:eastAsia="Times New Roman" w:hint="cs"/>
          <w:b/>
          <w:bCs/>
          <w:sz w:val="22"/>
          <w:szCs w:val="22"/>
          <w:rtl/>
          <w:lang w:eastAsia="zh-CN"/>
        </w:rPr>
        <w:t>م</w:t>
      </w:r>
    </w:p>
    <w:p w:rsidR="00EC4FD0" w:rsidRDefault="00EC4FD0" w:rsidP="00EC4FD0">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البحث اللغوي عند العرب، مع دراسة لقضية التأثير والتأثر، أحمد مختار عمر، عالم الكتب، ط</w:t>
      </w:r>
      <w:r w:rsidRPr="00831274">
        <w:rPr>
          <w:rFonts w:eastAsia="Times New Roman" w:hint="cs"/>
          <w:b/>
          <w:bCs/>
          <w:sz w:val="22"/>
          <w:szCs w:val="22"/>
          <w:rtl/>
          <w:cs/>
          <w:lang w:eastAsia="zh-CN"/>
        </w:rPr>
        <w:t>4، 1408 هـ/1982</w:t>
      </w:r>
      <w:r w:rsidRPr="00831274">
        <w:rPr>
          <w:rFonts w:eastAsia="Times New Roman" w:hint="cs"/>
          <w:b/>
          <w:bCs/>
          <w:sz w:val="22"/>
          <w:szCs w:val="22"/>
          <w:rtl/>
          <w:lang w:eastAsia="zh-CN"/>
        </w:rPr>
        <w:t>م</w:t>
      </w:r>
    </w:p>
    <w:p w:rsidR="00EC4FD0" w:rsidRPr="005B2570" w:rsidRDefault="00EC4FD0" w:rsidP="00EC4FD0">
      <w:pPr>
        <w:pStyle w:val="ListParagraph"/>
        <w:numPr>
          <w:ilvl w:val="0"/>
          <w:numId w:val="6"/>
        </w:numPr>
        <w:spacing w:line="360" w:lineRule="auto"/>
        <w:jc w:val="lowKashida"/>
        <w:rPr>
          <w:b/>
          <w:bCs/>
          <w:sz w:val="22"/>
          <w:szCs w:val="22"/>
          <w:lang w:eastAsia="zh-CN"/>
        </w:rPr>
      </w:pPr>
      <w:r w:rsidRPr="005B2570">
        <w:rPr>
          <w:rFonts w:hint="cs"/>
          <w:b/>
          <w:bCs/>
          <w:sz w:val="22"/>
          <w:szCs w:val="22"/>
          <w:rtl/>
          <w:lang w:eastAsia="zh-CN"/>
        </w:rPr>
        <w:t>العمدة في محاسن الشعر وآدابه ونقده، أبو الحسن بن رشيق القيرواني، تحقيق: محمد محي الدين عبد الحميد، دار الجيل، بيروت، ط4، 1972م.</w:t>
      </w:r>
    </w:p>
    <w:p w:rsidR="00EC4FD0" w:rsidRPr="005B2570" w:rsidRDefault="00EC4FD0" w:rsidP="00EC4FD0">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المعجم العربي، نشأته وتطوره، حسين نصار، مكتبة مصر، ط4، 1408هـ/ 1988م.</w:t>
      </w:r>
    </w:p>
    <w:p w:rsidR="00EC4FD0" w:rsidRPr="00C56FA5" w:rsidRDefault="00EC4FD0" w:rsidP="00EC4FD0">
      <w:pPr>
        <w:spacing w:line="360" w:lineRule="auto"/>
        <w:jc w:val="both"/>
        <w:rPr>
          <w:b/>
          <w:bCs/>
          <w:sz w:val="22"/>
          <w:szCs w:val="22"/>
          <w:rtl/>
          <w:lang w:eastAsia="zh-CN"/>
        </w:rPr>
      </w:pPr>
    </w:p>
    <w:p w:rsidR="00EC4FD0" w:rsidRPr="002D3D60" w:rsidRDefault="00EC4FD0" w:rsidP="00EC4FD0">
      <w:pPr>
        <w:spacing w:before="60" w:after="60" w:line="360" w:lineRule="auto"/>
        <w:ind w:firstLine="720"/>
        <w:jc w:val="both"/>
        <w:rPr>
          <w:b/>
          <w:bCs/>
          <w:sz w:val="22"/>
          <w:szCs w:val="22"/>
          <w:rtl/>
          <w:lang w:eastAsia="zh-CN"/>
        </w:rPr>
      </w:pPr>
    </w:p>
    <w:p w:rsidR="00EC4FD0" w:rsidRPr="00D138FB" w:rsidRDefault="00EC4FD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2D3D60" w:rsidRPr="00D138FB" w:rsidRDefault="002D3D60" w:rsidP="002D3D60">
      <w:pPr>
        <w:spacing w:line="360" w:lineRule="auto"/>
        <w:ind w:firstLine="720"/>
        <w:jc w:val="both"/>
        <w:rPr>
          <w:rFonts w:cs="Simplified Arabic"/>
          <w:sz w:val="28"/>
          <w:szCs w:val="28"/>
          <w:rtl/>
        </w:rPr>
      </w:pPr>
    </w:p>
    <w:p w:rsidR="005C61A2" w:rsidRPr="00446FAC" w:rsidRDefault="005C61A2" w:rsidP="00446FAC">
      <w:pPr>
        <w:spacing w:line="360" w:lineRule="auto"/>
        <w:jc w:val="both"/>
        <w:rPr>
          <w:rFonts w:cs="Simplified Arabic"/>
          <w:b/>
          <w:bCs/>
          <w:sz w:val="28"/>
          <w:szCs w:val="28"/>
        </w:rPr>
      </w:pPr>
    </w:p>
    <w:sectPr w:rsidR="005C61A2" w:rsidRPr="00446FAC"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16" w:rsidRDefault="00DD1F16" w:rsidP="004B3A23">
      <w:r>
        <w:separator/>
      </w:r>
    </w:p>
  </w:endnote>
  <w:endnote w:type="continuationSeparator" w:id="0">
    <w:p w:rsidR="00DD1F16" w:rsidRDefault="00DD1F16" w:rsidP="004B3A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16" w:rsidRDefault="00DD1F16" w:rsidP="004B3A23">
      <w:r>
        <w:separator/>
      </w:r>
    </w:p>
  </w:footnote>
  <w:footnote w:type="continuationSeparator" w:id="0">
    <w:p w:rsidR="00DD1F16" w:rsidRDefault="00DD1F16" w:rsidP="004B3A23">
      <w:r>
        <w:continuationSeparator/>
      </w:r>
    </w:p>
  </w:footnote>
  <w:footnote w:id="1">
    <w:p w:rsidR="00C75C13" w:rsidRPr="002D3D60" w:rsidRDefault="00C75C1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rFonts w:hint="cs"/>
          <w:b/>
          <w:bCs/>
          <w:sz w:val="22"/>
          <w:szCs w:val="22"/>
          <w:rtl/>
          <w:lang w:eastAsia="zh-CN" w:bidi="ar-SA"/>
        </w:rPr>
        <w:t>1</w:t>
      </w:r>
      <w:r w:rsidRPr="002D3D60">
        <w:rPr>
          <w:rFonts w:hint="cs"/>
          <w:b/>
          <w:bCs/>
          <w:sz w:val="22"/>
          <w:szCs w:val="22"/>
          <w:rtl/>
          <w:cs/>
          <w:lang w:eastAsia="zh-CN"/>
        </w:rPr>
        <w:t xml:space="preserve">) </w:t>
      </w:r>
      <w:r w:rsidRPr="002D3D60">
        <w:rPr>
          <w:rFonts w:hint="cs"/>
          <w:b/>
          <w:bCs/>
          <w:sz w:val="22"/>
          <w:szCs w:val="22"/>
          <w:rtl/>
          <w:cs/>
          <w:lang w:eastAsia="zh-CN" w:bidi="ar-SA"/>
        </w:rPr>
        <w:t>هذه البيانات من معجم الشعراء في لسان العرب، ياسين الأيوبي، نقلا عن كتاب الاحتجاج بالشعر في اللغة</w:t>
      </w:r>
      <w:r w:rsidRPr="002D3D60">
        <w:rPr>
          <w:rFonts w:hint="cs"/>
          <w:b/>
          <w:bCs/>
          <w:sz w:val="22"/>
          <w:szCs w:val="22"/>
          <w:rtl/>
          <w:cs/>
          <w:lang w:eastAsia="zh-C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6E"/>
    <w:multiLevelType w:val="hybridMultilevel"/>
    <w:tmpl w:val="1D966110"/>
    <w:lvl w:ilvl="0" w:tplc="17A0B928">
      <w:start w:val="1"/>
      <w:numFmt w:val="bullet"/>
      <w:lvlText w:val=""/>
      <w:lvlJc w:val="left"/>
      <w:pPr>
        <w:tabs>
          <w:tab w:val="num" w:pos="720"/>
        </w:tabs>
        <w:ind w:left="720" w:right="720" w:hanging="36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31126"/>
    <w:multiLevelType w:val="hybridMultilevel"/>
    <w:tmpl w:val="575E12E0"/>
    <w:lvl w:ilvl="0" w:tplc="71924EF2">
      <w:numFmt w:val="bullet"/>
      <w:lvlText w:val=""/>
      <w:lvlJc w:val="left"/>
      <w:pPr>
        <w:tabs>
          <w:tab w:val="num" w:pos="360"/>
        </w:tabs>
        <w:ind w:left="360" w:right="720" w:hanging="360"/>
      </w:pPr>
      <w:rPr>
        <w:rFonts w:ascii="Symbol" w:eastAsia="Times New Roman" w:hAnsi="Symbol" w:cs="Traditional Arabic" w:hint="default"/>
        <w:lang w:bidi="ar-SA"/>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B2D00"/>
    <w:rsid w:val="000F2ECD"/>
    <w:rsid w:val="00142A89"/>
    <w:rsid w:val="001D2450"/>
    <w:rsid w:val="00242A76"/>
    <w:rsid w:val="00246F4F"/>
    <w:rsid w:val="002619F0"/>
    <w:rsid w:val="002A4685"/>
    <w:rsid w:val="002D3D60"/>
    <w:rsid w:val="002F2CA9"/>
    <w:rsid w:val="0036688B"/>
    <w:rsid w:val="00373995"/>
    <w:rsid w:val="0044575B"/>
    <w:rsid w:val="00446FAC"/>
    <w:rsid w:val="004B3A23"/>
    <w:rsid w:val="005343E2"/>
    <w:rsid w:val="005405C8"/>
    <w:rsid w:val="005B6895"/>
    <w:rsid w:val="005C4EA9"/>
    <w:rsid w:val="005C61A2"/>
    <w:rsid w:val="005E08DC"/>
    <w:rsid w:val="005F68C1"/>
    <w:rsid w:val="00623CEB"/>
    <w:rsid w:val="00662934"/>
    <w:rsid w:val="00775641"/>
    <w:rsid w:val="007B7509"/>
    <w:rsid w:val="007E69A9"/>
    <w:rsid w:val="00852ED3"/>
    <w:rsid w:val="00943103"/>
    <w:rsid w:val="00943D74"/>
    <w:rsid w:val="00972672"/>
    <w:rsid w:val="00A8539B"/>
    <w:rsid w:val="00A965E9"/>
    <w:rsid w:val="00C00A15"/>
    <w:rsid w:val="00C75C13"/>
    <w:rsid w:val="00DD1F16"/>
    <w:rsid w:val="00E33A6A"/>
    <w:rsid w:val="00E33E85"/>
    <w:rsid w:val="00EC4FD0"/>
    <w:rsid w:val="00ED26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A965E9"/>
    <w:pPr>
      <w:keepNext/>
      <w:spacing w:line="360" w:lineRule="auto"/>
      <w:jc w:val="both"/>
      <w:outlineLvl w:val="1"/>
    </w:pPr>
    <w:rPr>
      <w:b/>
      <w:bCs/>
      <w:sz w:val="28"/>
      <w:szCs w:val="28"/>
      <w:u w:val="single"/>
      <w:lang w:eastAsia="zh-CN"/>
    </w:rPr>
  </w:style>
  <w:style w:type="paragraph" w:styleId="Heading3">
    <w:name w:val="heading 3"/>
    <w:basedOn w:val="Normal"/>
    <w:next w:val="Normal"/>
    <w:link w:val="Heading3Char"/>
    <w:qFormat/>
    <w:rsid w:val="002D3D60"/>
    <w:pPr>
      <w:keepNext/>
      <w:spacing w:before="240" w:after="60"/>
      <w:outlineLvl w:val="2"/>
    </w:pPr>
    <w:rPr>
      <w:rFonts w:ascii="Arial" w:hAnsi="Arial" w:cs="Ari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2Char">
    <w:name w:val="Heading 2 Char"/>
    <w:basedOn w:val="DefaultParagraphFont"/>
    <w:link w:val="Heading2"/>
    <w:rsid w:val="00A965E9"/>
    <w:rPr>
      <w:rFonts w:ascii="Times New Roman" w:eastAsia="Times New Roman" w:hAnsi="Times New Roman" w:cs="Times New Roman"/>
      <w:b/>
      <w:bCs/>
      <w:sz w:val="28"/>
      <w:szCs w:val="28"/>
      <w:u w:val="single"/>
      <w:lang w:eastAsia="zh-CN"/>
    </w:rPr>
  </w:style>
  <w:style w:type="character" w:customStyle="1" w:styleId="Heading3Char">
    <w:name w:val="Heading 3 Char"/>
    <w:basedOn w:val="DefaultParagraphFont"/>
    <w:link w:val="Heading3"/>
    <w:rsid w:val="002D3D60"/>
    <w:rPr>
      <w:rFonts w:ascii="Arial" w:eastAsia="Times New Roman" w:hAnsi="Arial" w:cs="Arial"/>
      <w:b/>
      <w:bCs/>
      <w:sz w:val="26"/>
      <w:szCs w:val="26"/>
      <w:lang w:bidi="hi-IN"/>
    </w:rPr>
  </w:style>
  <w:style w:type="paragraph" w:styleId="BodyText">
    <w:name w:val="Body Text"/>
    <w:basedOn w:val="Normal"/>
    <w:link w:val="BodyTextChar"/>
    <w:rsid w:val="002D3D60"/>
    <w:pPr>
      <w:spacing w:after="120"/>
    </w:pPr>
    <w:rPr>
      <w:lang w:bidi="hi-IN"/>
    </w:rPr>
  </w:style>
  <w:style w:type="character" w:customStyle="1" w:styleId="BodyTextChar">
    <w:name w:val="Body Text Char"/>
    <w:basedOn w:val="DefaultParagraphFont"/>
    <w:link w:val="BodyText"/>
    <w:rsid w:val="002D3D60"/>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9D174-0C1B-44C4-8D86-F7069E21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11</cp:revision>
  <dcterms:created xsi:type="dcterms:W3CDTF">2013-05-15T15:15:00Z</dcterms:created>
  <dcterms:modified xsi:type="dcterms:W3CDTF">2013-05-30T15:51:00Z</dcterms:modified>
</cp:coreProperties>
</file>