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EA9" w:rsidRDefault="007E69A9" w:rsidP="00CB3ED1">
      <w:pPr>
        <w:spacing w:before="120" w:after="120" w:line="360" w:lineRule="auto"/>
        <w:jc w:val="center"/>
        <w:rPr>
          <w:b/>
          <w:bCs/>
          <w:sz w:val="52"/>
          <w:szCs w:val="52"/>
          <w:rtl/>
          <w:lang w:eastAsia="zh-CN"/>
        </w:rPr>
      </w:pPr>
      <w:r>
        <w:rPr>
          <w:rFonts w:hint="cs"/>
          <w:b/>
          <w:bCs/>
          <w:sz w:val="52"/>
          <w:szCs w:val="52"/>
          <w:rtl/>
          <w:lang w:eastAsia="zh-CN"/>
        </w:rPr>
        <w:t>الاستشهاد بالشعر</w:t>
      </w:r>
      <w:r w:rsidR="002619F0">
        <w:rPr>
          <w:rFonts w:hint="cs"/>
          <w:b/>
          <w:bCs/>
          <w:sz w:val="52"/>
          <w:szCs w:val="52"/>
          <w:rtl/>
          <w:lang w:eastAsia="zh-CN"/>
        </w:rPr>
        <w:t>(</w:t>
      </w:r>
      <w:r w:rsidR="00CB3ED1">
        <w:rPr>
          <w:rFonts w:hint="cs"/>
          <w:b/>
          <w:bCs/>
          <w:sz w:val="52"/>
          <w:szCs w:val="52"/>
          <w:rtl/>
          <w:lang w:eastAsia="zh-CN"/>
        </w:rPr>
        <w:t>4</w:t>
      </w:r>
      <w:r w:rsidR="002619F0">
        <w:rPr>
          <w:rFonts w:hint="cs"/>
          <w:b/>
          <w:bCs/>
          <w:sz w:val="52"/>
          <w:szCs w:val="52"/>
          <w:rtl/>
          <w:lang w:eastAsia="zh-CN"/>
        </w:rPr>
        <w:t>)</w:t>
      </w:r>
    </w:p>
    <w:p w:rsidR="007B7509" w:rsidRPr="007B7509" w:rsidRDefault="007B7509" w:rsidP="004B3A23">
      <w:pPr>
        <w:spacing w:before="120" w:after="120" w:line="360" w:lineRule="auto"/>
        <w:jc w:val="center"/>
        <w:rPr>
          <w:rFonts w:ascii="Arial" w:eastAsia="MS Mincho" w:hAnsi="Arial" w:cs="Arial"/>
          <w:color w:val="222222"/>
          <w:sz w:val="40"/>
          <w:szCs w:val="40"/>
          <w:rtl/>
        </w:rPr>
        <w:sectPr w:rsidR="007B7509" w:rsidRPr="007B7509" w:rsidSect="005C4EA9">
          <w:type w:val="continuous"/>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pPr>
      <w:r w:rsidRPr="007B7509">
        <w:rPr>
          <w:rFonts w:ascii="Arial" w:eastAsia="MS Mincho" w:hAnsi="Arial" w:cs="Arial" w:hint="cs"/>
          <w:color w:val="222222"/>
          <w:sz w:val="40"/>
          <w:szCs w:val="40"/>
          <w:rtl/>
        </w:rPr>
        <w:t xml:space="preserve">(بحث في </w:t>
      </w:r>
      <w:r>
        <w:rPr>
          <w:rFonts w:ascii="Arial" w:eastAsia="MS Mincho" w:hAnsi="Arial" w:cs="Arial" w:hint="cs"/>
          <w:color w:val="222222"/>
          <w:sz w:val="40"/>
          <w:szCs w:val="40"/>
          <w:rtl/>
        </w:rPr>
        <w:t xml:space="preserve">تقنية الشاهد في </w:t>
      </w:r>
      <w:r w:rsidRPr="007B7509">
        <w:rPr>
          <w:rFonts w:ascii="Arial" w:eastAsia="MS Mincho" w:hAnsi="Arial" w:cs="Arial" w:hint="cs"/>
          <w:color w:val="222222"/>
          <w:sz w:val="40"/>
          <w:szCs w:val="40"/>
          <w:rtl/>
        </w:rPr>
        <w:t>المعاجم اللغوية)</w:t>
      </w:r>
    </w:p>
    <w:p w:rsidR="005C4EA9" w:rsidRPr="007E69A9" w:rsidRDefault="004B3A23" w:rsidP="005C4EA9">
      <w:pPr>
        <w:pStyle w:val="Author"/>
        <w:bidi/>
        <w:rPr>
          <w:rFonts w:eastAsia="Times New Roman"/>
          <w:b/>
          <w:bCs/>
          <w:sz w:val="28"/>
          <w:szCs w:val="28"/>
          <w:rtl/>
          <w:lang w:bidi="ar-EG"/>
        </w:rPr>
      </w:pPr>
      <w:r w:rsidRPr="007E69A9">
        <w:rPr>
          <w:rFonts w:hint="cs"/>
          <w:b/>
          <w:bCs/>
          <w:i/>
          <w:iCs/>
          <w:sz w:val="28"/>
          <w:szCs w:val="28"/>
          <w:rtl/>
        </w:rPr>
        <w:lastRenderedPageBreak/>
        <w:t xml:space="preserve">د/ </w:t>
      </w:r>
      <w:r w:rsidRPr="007E69A9">
        <w:rPr>
          <w:rFonts w:hint="cs"/>
          <w:b/>
          <w:bCs/>
          <w:i/>
          <w:iCs/>
          <w:sz w:val="28"/>
          <w:szCs w:val="28"/>
          <w:rtl/>
          <w:lang w:bidi="ar-EG"/>
        </w:rPr>
        <w:t>كامل أنور سعيد</w:t>
      </w:r>
    </w:p>
    <w:p w:rsidR="004B3A23" w:rsidRDefault="004B3A23" w:rsidP="004B3A23">
      <w:pPr>
        <w:pStyle w:val="Affiliation"/>
        <w:bidi/>
        <w:rPr>
          <w:rFonts w:eastAsia="Times New Roman"/>
        </w:rPr>
      </w:pPr>
      <w:r>
        <w:rPr>
          <w:rFonts w:hint="cs"/>
          <w:i/>
          <w:iCs/>
          <w:rtl/>
        </w:rPr>
        <w:t>قسم اللغة العربية</w:t>
      </w:r>
    </w:p>
    <w:p w:rsidR="004B3A23" w:rsidRDefault="004B3A23" w:rsidP="004B3A23">
      <w:pPr>
        <w:pStyle w:val="Affiliation"/>
        <w:bidi/>
      </w:pPr>
      <w:r>
        <w:rPr>
          <w:rFonts w:hint="cs"/>
          <w:i/>
          <w:iCs/>
          <w:rtl/>
        </w:rPr>
        <w:t xml:space="preserve">كلية اللغات </w:t>
      </w:r>
      <w:r>
        <w:rPr>
          <w:i/>
          <w:iCs/>
          <w:rtl/>
        </w:rPr>
        <w:t>–</w:t>
      </w:r>
      <w:r>
        <w:rPr>
          <w:rFonts w:hint="cs"/>
          <w:i/>
          <w:iCs/>
          <w:rtl/>
        </w:rPr>
        <w:t xml:space="preserve"> جامعة المدينة العالمية</w:t>
      </w:r>
      <w:r>
        <w:rPr>
          <w:rFonts w:eastAsia="Times New Roman"/>
          <w:i/>
          <w:iCs/>
        </w:rPr>
        <w:t xml:space="preserve"> </w:t>
      </w:r>
    </w:p>
    <w:p w:rsidR="004B3A23" w:rsidRDefault="004B3A23" w:rsidP="004B3A23">
      <w:pPr>
        <w:pStyle w:val="Affiliation"/>
        <w:bidi/>
        <w:rPr>
          <w:rtl/>
          <w:lang w:bidi="ar-EG"/>
        </w:rPr>
      </w:pPr>
      <w:r>
        <w:rPr>
          <w:rFonts w:hint="cs"/>
          <w:rtl/>
        </w:rPr>
        <w:t>شاه علم - ماليزيا</w:t>
      </w:r>
    </w:p>
    <w:p w:rsidR="004B3A23" w:rsidRDefault="004B3A23" w:rsidP="004B3A23">
      <w:pPr>
        <w:pStyle w:val="Affiliation"/>
        <w:bidi/>
        <w:jc w:val="both"/>
        <w:rPr>
          <w:i/>
          <w:iCs/>
          <w:rtl/>
        </w:rPr>
      </w:pPr>
    </w:p>
    <w:p w:rsidR="00623CEB" w:rsidRPr="001D2450" w:rsidRDefault="00AB3A88" w:rsidP="00623CEB">
      <w:pPr>
        <w:pStyle w:val="Affiliation"/>
        <w:bidi/>
        <w:rPr>
          <w:b/>
          <w:bCs/>
          <w:rtl/>
          <w:lang w:bidi="ar-EG"/>
        </w:rPr>
      </w:pPr>
      <w:hyperlink r:id="rId8" w:history="1">
        <w:r w:rsidR="00623CEB" w:rsidRPr="001D2450">
          <w:rPr>
            <w:rStyle w:val="Hyperlink"/>
            <w:i/>
            <w:iCs/>
          </w:rPr>
          <w:t>Kamel.anwer@mediu</w:t>
        </w:r>
      </w:hyperlink>
      <w:r w:rsidR="000F2ECD" w:rsidRPr="000F2ECD">
        <w:rPr>
          <w:rStyle w:val="Hyperlink"/>
          <w:i/>
          <w:iCs/>
        </w:rPr>
        <w:t>.ws</w:t>
      </w:r>
    </w:p>
    <w:p w:rsidR="005C4EA9" w:rsidRDefault="005C4EA9" w:rsidP="00623CEB">
      <w:pPr>
        <w:pStyle w:val="Affiliation"/>
        <w:bidi/>
        <w:rPr>
          <w:b/>
          <w:bCs/>
          <w:sz w:val="22"/>
          <w:szCs w:val="22"/>
          <w:rtl/>
          <w:lang w:bidi="ar-EG"/>
        </w:rPr>
        <w:sectPr w:rsidR="005C4EA9" w:rsidSect="005C4EA9">
          <w:type w:val="continuous"/>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pPr>
    </w:p>
    <w:p w:rsidR="00972672" w:rsidRDefault="00972672" w:rsidP="00623CEB">
      <w:pPr>
        <w:pStyle w:val="Affiliation"/>
        <w:bidi/>
        <w:rPr>
          <w:b/>
          <w:bCs/>
          <w:sz w:val="22"/>
          <w:szCs w:val="22"/>
          <w:rtl/>
          <w:lang w:bidi="ar-EG"/>
        </w:rPr>
      </w:pPr>
    </w:p>
    <w:p w:rsidR="00972672" w:rsidRDefault="00972672" w:rsidP="00972672">
      <w:pPr>
        <w:pStyle w:val="Affiliation"/>
        <w:bidi/>
        <w:rPr>
          <w:b/>
          <w:bCs/>
          <w:sz w:val="22"/>
          <w:szCs w:val="22"/>
          <w:rtl/>
          <w:lang w:bidi="ar-EG"/>
        </w:rPr>
      </w:pPr>
    </w:p>
    <w:p w:rsidR="00972672" w:rsidRDefault="00972672" w:rsidP="00972672">
      <w:pPr>
        <w:pStyle w:val="Affiliation"/>
        <w:bidi/>
        <w:rPr>
          <w:b/>
          <w:bCs/>
          <w:sz w:val="22"/>
          <w:szCs w:val="22"/>
          <w:rtl/>
          <w:lang w:bidi="ar-EG"/>
        </w:rPr>
      </w:pPr>
    </w:p>
    <w:p w:rsidR="004B3A23" w:rsidRDefault="00623CEB" w:rsidP="00972672">
      <w:pPr>
        <w:pStyle w:val="Affiliation"/>
        <w:bidi/>
        <w:rPr>
          <w:b/>
          <w:bCs/>
          <w:sz w:val="22"/>
          <w:szCs w:val="22"/>
          <w:rtl/>
          <w:lang w:bidi="ar-EG"/>
        </w:rPr>
      </w:pPr>
      <w:r>
        <w:rPr>
          <w:rFonts w:hint="cs"/>
          <w:b/>
          <w:bCs/>
          <w:sz w:val="22"/>
          <w:szCs w:val="22"/>
          <w:rtl/>
          <w:lang w:bidi="ar-EG"/>
        </w:rPr>
        <w:t xml:space="preserve"> </w:t>
      </w:r>
    </w:p>
    <w:p w:rsidR="00972672" w:rsidRDefault="00972672" w:rsidP="00623CEB">
      <w:pPr>
        <w:suppressAutoHyphens/>
        <w:ind w:firstLine="567"/>
        <w:jc w:val="both"/>
        <w:rPr>
          <w:b/>
          <w:bCs/>
          <w:sz w:val="22"/>
          <w:szCs w:val="22"/>
          <w:rtl/>
          <w:lang w:eastAsia="zh-CN"/>
        </w:rPr>
      </w:pPr>
    </w:p>
    <w:p w:rsidR="00943103" w:rsidRDefault="00623CEB" w:rsidP="00943103">
      <w:pPr>
        <w:suppressAutoHyphens/>
        <w:ind w:firstLine="567"/>
        <w:jc w:val="both"/>
        <w:rPr>
          <w:b/>
          <w:bCs/>
          <w:sz w:val="22"/>
          <w:szCs w:val="22"/>
          <w:rtl/>
          <w:lang w:eastAsia="zh-CN"/>
        </w:rPr>
      </w:pPr>
      <w:r w:rsidRPr="0036688B">
        <w:rPr>
          <w:rFonts w:hint="cs"/>
          <w:b/>
          <w:bCs/>
          <w:sz w:val="22"/>
          <w:szCs w:val="22"/>
          <w:rtl/>
          <w:lang w:eastAsia="zh-CN"/>
        </w:rPr>
        <w:t xml:space="preserve">الخلاصة : </w:t>
      </w:r>
      <w:r w:rsidR="00943103" w:rsidRPr="0036688B">
        <w:rPr>
          <w:rFonts w:hint="cs"/>
          <w:b/>
          <w:bCs/>
          <w:sz w:val="22"/>
          <w:szCs w:val="22"/>
          <w:rtl/>
          <w:lang w:eastAsia="zh-CN"/>
        </w:rPr>
        <w:t xml:space="preserve">هذا البحث يوضح </w:t>
      </w:r>
      <w:r w:rsidR="00943103">
        <w:rPr>
          <w:rFonts w:hint="cs"/>
          <w:b/>
          <w:bCs/>
          <w:sz w:val="22"/>
          <w:szCs w:val="22"/>
          <w:rtl/>
          <w:lang w:eastAsia="zh-CN"/>
        </w:rPr>
        <w:t xml:space="preserve">المعايير المكانية والزمانية التي وضعها النحاة للاحتجاج بالشاهد الشعري، وهل لاقت هذه المعايير قبولا لدى كل اللغويين ، ام وجد من خرج على تلك المعايير؟ </w:t>
      </w:r>
    </w:p>
    <w:p w:rsidR="001D2450" w:rsidRDefault="001D2450" w:rsidP="00943103">
      <w:pPr>
        <w:suppressAutoHyphens/>
        <w:ind w:firstLine="567"/>
        <w:jc w:val="both"/>
        <w:rPr>
          <w:b/>
          <w:bCs/>
          <w:sz w:val="22"/>
          <w:szCs w:val="22"/>
          <w:rtl/>
          <w:lang w:eastAsia="zh-CN"/>
        </w:rPr>
      </w:pPr>
    </w:p>
    <w:p w:rsidR="0036688B" w:rsidRDefault="0036688B" w:rsidP="00623CEB">
      <w:pPr>
        <w:suppressAutoHyphens/>
        <w:ind w:firstLine="567"/>
        <w:jc w:val="both"/>
        <w:rPr>
          <w:b/>
          <w:bCs/>
          <w:sz w:val="22"/>
          <w:szCs w:val="22"/>
          <w:rtl/>
          <w:lang w:eastAsia="zh-CN"/>
        </w:rPr>
      </w:pPr>
      <w:r w:rsidRPr="0036688B">
        <w:rPr>
          <w:rFonts w:hint="cs"/>
          <w:b/>
          <w:bCs/>
          <w:sz w:val="22"/>
          <w:szCs w:val="22"/>
          <w:rtl/>
          <w:lang w:eastAsia="zh-CN"/>
        </w:rPr>
        <w:t>الكلم</w:t>
      </w:r>
      <w:r w:rsidR="007E69A9">
        <w:rPr>
          <w:rFonts w:hint="cs"/>
          <w:b/>
          <w:bCs/>
          <w:sz w:val="22"/>
          <w:szCs w:val="22"/>
          <w:rtl/>
          <w:lang w:eastAsia="zh-CN"/>
        </w:rPr>
        <w:t>ات المفتاحية: ا</w:t>
      </w:r>
      <w:r w:rsidRPr="0036688B">
        <w:rPr>
          <w:rFonts w:hint="cs"/>
          <w:b/>
          <w:bCs/>
          <w:sz w:val="22"/>
          <w:szCs w:val="22"/>
          <w:rtl/>
          <w:lang w:eastAsia="zh-CN"/>
        </w:rPr>
        <w:t xml:space="preserve">لاستشهاد </w:t>
      </w:r>
      <w:r w:rsidRPr="0036688B">
        <w:rPr>
          <w:b/>
          <w:bCs/>
          <w:sz w:val="22"/>
          <w:szCs w:val="22"/>
          <w:rtl/>
          <w:lang w:eastAsia="zh-CN"/>
        </w:rPr>
        <w:t>–</w:t>
      </w:r>
      <w:r w:rsidRPr="0036688B">
        <w:rPr>
          <w:rFonts w:hint="cs"/>
          <w:b/>
          <w:bCs/>
          <w:sz w:val="22"/>
          <w:szCs w:val="22"/>
          <w:rtl/>
          <w:lang w:eastAsia="zh-CN"/>
        </w:rPr>
        <w:t xml:space="preserve"> الاحتجاج </w:t>
      </w:r>
      <w:r w:rsidRPr="0036688B">
        <w:rPr>
          <w:b/>
          <w:bCs/>
          <w:sz w:val="22"/>
          <w:szCs w:val="22"/>
          <w:rtl/>
          <w:lang w:eastAsia="zh-CN"/>
        </w:rPr>
        <w:t>–</w:t>
      </w:r>
      <w:r w:rsidRPr="0036688B">
        <w:rPr>
          <w:rFonts w:hint="cs"/>
          <w:b/>
          <w:bCs/>
          <w:sz w:val="22"/>
          <w:szCs w:val="22"/>
          <w:rtl/>
          <w:lang w:eastAsia="zh-CN"/>
        </w:rPr>
        <w:t xml:space="preserve"> </w:t>
      </w:r>
      <w:r w:rsidR="007E69A9">
        <w:rPr>
          <w:rFonts w:hint="cs"/>
          <w:b/>
          <w:bCs/>
          <w:sz w:val="22"/>
          <w:szCs w:val="22"/>
          <w:rtl/>
          <w:lang w:eastAsia="zh-CN"/>
        </w:rPr>
        <w:t xml:space="preserve">الشعر </w:t>
      </w:r>
      <w:r w:rsidR="007E69A9">
        <w:rPr>
          <w:b/>
          <w:bCs/>
          <w:sz w:val="22"/>
          <w:szCs w:val="22"/>
          <w:rtl/>
          <w:lang w:eastAsia="zh-CN"/>
        </w:rPr>
        <w:t>–</w:t>
      </w:r>
      <w:r w:rsidR="007E69A9">
        <w:rPr>
          <w:rFonts w:hint="cs"/>
          <w:b/>
          <w:bCs/>
          <w:sz w:val="22"/>
          <w:szCs w:val="22"/>
          <w:rtl/>
          <w:lang w:eastAsia="zh-CN"/>
        </w:rPr>
        <w:t xml:space="preserve"> معايير الاحتجاج - </w:t>
      </w:r>
      <w:r w:rsidRPr="0036688B">
        <w:rPr>
          <w:rFonts w:hint="cs"/>
          <w:b/>
          <w:bCs/>
          <w:sz w:val="22"/>
          <w:szCs w:val="22"/>
          <w:rtl/>
          <w:lang w:eastAsia="zh-CN"/>
        </w:rPr>
        <w:t xml:space="preserve">المعاجم </w:t>
      </w:r>
      <w:r>
        <w:rPr>
          <w:b/>
          <w:bCs/>
          <w:sz w:val="22"/>
          <w:szCs w:val="22"/>
          <w:rtl/>
          <w:lang w:eastAsia="zh-CN"/>
        </w:rPr>
        <w:t>–</w:t>
      </w:r>
      <w:r w:rsidRPr="0036688B">
        <w:rPr>
          <w:rFonts w:hint="cs"/>
          <w:b/>
          <w:bCs/>
          <w:sz w:val="22"/>
          <w:szCs w:val="22"/>
          <w:rtl/>
          <w:lang w:eastAsia="zh-CN"/>
        </w:rPr>
        <w:t xml:space="preserve"> </w:t>
      </w:r>
      <w:r>
        <w:rPr>
          <w:rFonts w:hint="cs"/>
          <w:b/>
          <w:bCs/>
          <w:sz w:val="22"/>
          <w:szCs w:val="22"/>
          <w:rtl/>
          <w:lang w:eastAsia="zh-CN"/>
        </w:rPr>
        <w:t xml:space="preserve">اللغويون </w:t>
      </w:r>
      <w:r>
        <w:rPr>
          <w:b/>
          <w:bCs/>
          <w:sz w:val="22"/>
          <w:szCs w:val="22"/>
          <w:rtl/>
          <w:lang w:eastAsia="zh-CN"/>
        </w:rPr>
        <w:t>–</w:t>
      </w:r>
      <w:r>
        <w:rPr>
          <w:rFonts w:hint="cs"/>
          <w:b/>
          <w:bCs/>
          <w:sz w:val="22"/>
          <w:szCs w:val="22"/>
          <w:rtl/>
          <w:lang w:eastAsia="zh-CN"/>
        </w:rPr>
        <w:t xml:space="preserve"> النحاة.</w:t>
      </w:r>
    </w:p>
    <w:p w:rsidR="005C61A2" w:rsidRDefault="005C61A2" w:rsidP="00623CEB">
      <w:pPr>
        <w:suppressAutoHyphens/>
        <w:ind w:firstLine="567"/>
        <w:jc w:val="both"/>
        <w:rPr>
          <w:b/>
          <w:bCs/>
          <w:sz w:val="22"/>
          <w:szCs w:val="22"/>
          <w:rtl/>
          <w:lang w:eastAsia="zh-CN"/>
        </w:rPr>
      </w:pPr>
    </w:p>
    <w:p w:rsidR="0036688B" w:rsidRDefault="005C61A2" w:rsidP="005C61A2">
      <w:pPr>
        <w:suppressAutoHyphens/>
        <w:jc w:val="center"/>
        <w:rPr>
          <w:b/>
          <w:bCs/>
          <w:sz w:val="32"/>
          <w:szCs w:val="32"/>
          <w:rtl/>
          <w:lang w:eastAsia="zh-CN" w:bidi="ar-EG"/>
        </w:rPr>
      </w:pPr>
      <w:r>
        <w:rPr>
          <w:b/>
          <w:bCs/>
          <w:sz w:val="32"/>
          <w:szCs w:val="32"/>
          <w:lang w:eastAsia="zh-CN" w:bidi="ar-EG"/>
        </w:rPr>
        <w:t>I</w:t>
      </w:r>
      <w:r>
        <w:rPr>
          <w:rFonts w:hint="cs"/>
          <w:b/>
          <w:bCs/>
          <w:sz w:val="32"/>
          <w:szCs w:val="32"/>
          <w:rtl/>
          <w:lang w:eastAsia="zh-CN" w:bidi="ar-EG"/>
        </w:rPr>
        <w:t>.</w:t>
      </w:r>
      <w:r w:rsidR="0036688B" w:rsidRPr="005C61A2">
        <w:rPr>
          <w:rFonts w:hint="cs"/>
          <w:b/>
          <w:bCs/>
          <w:sz w:val="28"/>
          <w:szCs w:val="28"/>
          <w:rtl/>
          <w:lang w:eastAsia="zh-CN" w:bidi="ar-EG"/>
        </w:rPr>
        <w:t>المقدمة</w:t>
      </w:r>
    </w:p>
    <w:p w:rsidR="005C61A2" w:rsidRPr="005C61A2" w:rsidRDefault="005C61A2" w:rsidP="005C61A2">
      <w:pPr>
        <w:suppressAutoHyphens/>
        <w:jc w:val="center"/>
        <w:rPr>
          <w:b/>
          <w:bCs/>
          <w:sz w:val="32"/>
          <w:szCs w:val="32"/>
          <w:rtl/>
          <w:lang w:eastAsia="zh-CN" w:bidi="ar-EG"/>
        </w:rPr>
      </w:pPr>
    </w:p>
    <w:p w:rsidR="005C61A2" w:rsidRDefault="00943103" w:rsidP="005C61A2">
      <w:pPr>
        <w:suppressAutoHyphens/>
        <w:ind w:firstLine="567"/>
        <w:jc w:val="both"/>
        <w:rPr>
          <w:b/>
          <w:bCs/>
          <w:sz w:val="22"/>
          <w:szCs w:val="22"/>
          <w:rtl/>
          <w:lang w:eastAsia="zh-CN"/>
        </w:rPr>
      </w:pPr>
      <w:r w:rsidRPr="002D3D60">
        <w:rPr>
          <w:rFonts w:hint="cs"/>
          <w:b/>
          <w:bCs/>
          <w:sz w:val="22"/>
          <w:szCs w:val="22"/>
          <w:rtl/>
          <w:lang w:eastAsia="zh-CN"/>
        </w:rPr>
        <w:t>إن الواقع الفعلى  يكشف لنا عن قبائل غير التي نصَّ عليها الفارابي سابقا في تحديده للقبائل التي يؤخذ</w:t>
      </w:r>
      <w:r w:rsidRPr="00943103">
        <w:rPr>
          <w:rFonts w:hint="cs"/>
          <w:b/>
          <w:bCs/>
          <w:sz w:val="22"/>
          <w:szCs w:val="22"/>
          <w:rtl/>
          <w:lang w:eastAsia="zh-CN"/>
        </w:rPr>
        <w:t xml:space="preserve"> </w:t>
      </w:r>
      <w:r>
        <w:rPr>
          <w:rFonts w:hint="cs"/>
          <w:b/>
          <w:bCs/>
          <w:sz w:val="22"/>
          <w:szCs w:val="22"/>
          <w:rtl/>
          <w:lang w:eastAsia="zh-CN"/>
        </w:rPr>
        <w:t>عنها ، و</w:t>
      </w:r>
      <w:r w:rsidRPr="002D3D60">
        <w:rPr>
          <w:rFonts w:hint="cs"/>
          <w:b/>
          <w:bCs/>
          <w:sz w:val="22"/>
          <w:szCs w:val="22"/>
          <w:rtl/>
          <w:lang w:eastAsia="zh-CN"/>
        </w:rPr>
        <w:t>إذا نظرنا إلى معاجمنا العربية نجد أنها لم تلتزم التزاما تامًّا بهذه المعايير، حيث إنها استشهدت بشعراء ما بعد عصور الاحتجاج اللغوي</w:t>
      </w:r>
    </w:p>
    <w:p w:rsidR="00943103" w:rsidRDefault="00943103" w:rsidP="005C61A2">
      <w:pPr>
        <w:suppressAutoHyphens/>
        <w:ind w:firstLine="567"/>
        <w:jc w:val="both"/>
        <w:rPr>
          <w:b/>
          <w:bCs/>
          <w:sz w:val="22"/>
          <w:szCs w:val="22"/>
          <w:rtl/>
          <w:lang w:eastAsia="zh-CN"/>
        </w:rPr>
      </w:pPr>
    </w:p>
    <w:p w:rsidR="005C61A2" w:rsidRDefault="005C61A2" w:rsidP="005C61A2">
      <w:pPr>
        <w:suppressAutoHyphens/>
        <w:ind w:firstLine="567"/>
        <w:jc w:val="center"/>
        <w:rPr>
          <w:b/>
          <w:bCs/>
          <w:sz w:val="28"/>
          <w:szCs w:val="28"/>
          <w:rtl/>
          <w:lang w:eastAsia="zh-CN" w:bidi="ar-EG"/>
        </w:rPr>
      </w:pPr>
      <w:r w:rsidRPr="005C61A2">
        <w:rPr>
          <w:b/>
          <w:bCs/>
          <w:sz w:val="28"/>
          <w:szCs w:val="28"/>
          <w:lang w:eastAsia="zh-CN"/>
        </w:rPr>
        <w:t>II</w:t>
      </w:r>
      <w:r w:rsidRPr="005C61A2">
        <w:rPr>
          <w:rFonts w:hint="cs"/>
          <w:b/>
          <w:bCs/>
          <w:sz w:val="28"/>
          <w:szCs w:val="28"/>
          <w:rtl/>
          <w:lang w:eastAsia="zh-CN" w:bidi="ar-EG"/>
        </w:rPr>
        <w:t>. موضوع المقالة</w:t>
      </w:r>
    </w:p>
    <w:p w:rsidR="00A965E9" w:rsidRPr="005C61A2" w:rsidRDefault="00A965E9" w:rsidP="00A965E9">
      <w:pPr>
        <w:suppressAutoHyphens/>
        <w:ind w:firstLine="567"/>
        <w:rPr>
          <w:b/>
          <w:bCs/>
          <w:sz w:val="28"/>
          <w:szCs w:val="28"/>
          <w:rtl/>
          <w:lang w:eastAsia="zh-CN" w:bidi="ar-EG"/>
        </w:rPr>
      </w:pPr>
    </w:p>
    <w:p w:rsidR="00A965E9" w:rsidRPr="00A965E9" w:rsidRDefault="00A965E9" w:rsidP="00A965E9">
      <w:pPr>
        <w:pStyle w:val="Heading2"/>
        <w:rPr>
          <w:sz w:val="22"/>
          <w:szCs w:val="22"/>
          <w:u w:val="none"/>
          <w:rtl/>
        </w:rPr>
      </w:pPr>
      <w:r w:rsidRPr="00A965E9">
        <w:rPr>
          <w:rFonts w:hint="cs"/>
          <w:sz w:val="22"/>
          <w:szCs w:val="22"/>
          <w:u w:val="none"/>
          <w:rtl/>
        </w:rPr>
        <w:t>تحدثت سابقا عن معايير الاحتجاج المكانية والزمانية التي وضعها العلماء للاحتجاج بالشعر ، وفي هذه المقالة أقف مع وقفة سريعة مع هذه المعايير من حيث القبول والرفض ، ومدى ملاءمتها للواقع اللغوي أم لا.</w:t>
      </w:r>
    </w:p>
    <w:p w:rsidR="00A965E9" w:rsidRPr="00A965E9" w:rsidRDefault="00A965E9" w:rsidP="00A965E9">
      <w:pPr>
        <w:rPr>
          <w:rtl/>
          <w:lang w:eastAsia="zh-CN"/>
        </w:rPr>
      </w:pPr>
    </w:p>
    <w:p w:rsidR="002D3D60" w:rsidRPr="00A965E9" w:rsidRDefault="002D3D60" w:rsidP="00A965E9">
      <w:pPr>
        <w:pStyle w:val="Heading2"/>
        <w:rPr>
          <w:i/>
          <w:iCs/>
          <w:rtl/>
        </w:rPr>
      </w:pPr>
      <w:r w:rsidRPr="00A965E9">
        <w:rPr>
          <w:rFonts w:hint="cs"/>
          <w:rtl/>
        </w:rPr>
        <w:t>معايير الاحتجاج في الميزان</w:t>
      </w:r>
      <w:r w:rsidR="00A965E9">
        <w:rPr>
          <w:rFonts w:hint="cs"/>
          <w:i/>
          <w:iCs/>
          <w:rtl/>
        </w:rPr>
        <w:t>:</w:t>
      </w:r>
    </w:p>
    <w:p w:rsidR="00A965E9" w:rsidRDefault="002D3D60" w:rsidP="002D3D60">
      <w:pPr>
        <w:spacing w:line="360" w:lineRule="auto"/>
        <w:ind w:firstLine="720"/>
        <w:jc w:val="both"/>
        <w:rPr>
          <w:b/>
          <w:bCs/>
          <w:sz w:val="22"/>
          <w:szCs w:val="22"/>
          <w:rtl/>
          <w:lang w:eastAsia="zh-CN"/>
        </w:rPr>
      </w:pPr>
      <w:r w:rsidRPr="002D3D60">
        <w:rPr>
          <w:rFonts w:hint="cs"/>
          <w:b/>
          <w:bCs/>
          <w:sz w:val="22"/>
          <w:szCs w:val="22"/>
          <w:rtl/>
          <w:lang w:eastAsia="zh-CN"/>
        </w:rPr>
        <w:t xml:space="preserve">مما لاشك فيه أن هذه المعايير لم تكن محل اتفاق كل اللغويين، سواء المكانية منها أم الزمانية، حيث نجد خروجًا واضحًا عليها، سواء في مجال متن اللغة أم في مجال القواعد، ولكن سيقتصر حديثي هنا </w:t>
      </w:r>
    </w:p>
    <w:p w:rsidR="00A965E9" w:rsidRDefault="00A965E9" w:rsidP="002D3D60">
      <w:pPr>
        <w:spacing w:line="360" w:lineRule="auto"/>
        <w:ind w:firstLine="720"/>
        <w:jc w:val="both"/>
        <w:rPr>
          <w:b/>
          <w:bCs/>
          <w:sz w:val="22"/>
          <w:szCs w:val="22"/>
          <w:rtl/>
          <w:lang w:eastAsia="zh-CN"/>
        </w:rPr>
      </w:pPr>
    </w:p>
    <w:p w:rsidR="00A965E9" w:rsidRDefault="00A965E9" w:rsidP="002D3D60">
      <w:pPr>
        <w:spacing w:line="360" w:lineRule="auto"/>
        <w:ind w:firstLine="720"/>
        <w:jc w:val="both"/>
        <w:rPr>
          <w:b/>
          <w:bCs/>
          <w:sz w:val="22"/>
          <w:szCs w:val="22"/>
          <w:rtl/>
          <w:lang w:eastAsia="zh-CN"/>
        </w:rPr>
      </w:pPr>
    </w:p>
    <w:p w:rsidR="00A965E9" w:rsidRDefault="00A965E9" w:rsidP="002D3D60">
      <w:pPr>
        <w:spacing w:line="360" w:lineRule="auto"/>
        <w:ind w:firstLine="720"/>
        <w:jc w:val="both"/>
        <w:rPr>
          <w:b/>
          <w:bCs/>
          <w:sz w:val="22"/>
          <w:szCs w:val="22"/>
          <w:rtl/>
          <w:lang w:eastAsia="zh-CN"/>
        </w:rPr>
      </w:pPr>
    </w:p>
    <w:p w:rsidR="002D3D60" w:rsidRPr="002D3D60" w:rsidRDefault="002D3D60" w:rsidP="00913B02">
      <w:pPr>
        <w:spacing w:line="360" w:lineRule="auto"/>
        <w:jc w:val="both"/>
        <w:rPr>
          <w:b/>
          <w:bCs/>
          <w:sz w:val="22"/>
          <w:szCs w:val="22"/>
          <w:rtl/>
          <w:lang w:eastAsia="zh-CN"/>
        </w:rPr>
      </w:pPr>
      <w:r w:rsidRPr="002D3D60">
        <w:rPr>
          <w:rFonts w:hint="cs"/>
          <w:b/>
          <w:bCs/>
          <w:sz w:val="22"/>
          <w:szCs w:val="22"/>
          <w:rtl/>
          <w:lang w:eastAsia="zh-CN"/>
        </w:rPr>
        <w:t>على مجال متن اللغة وبخاصة مجال المعجم أو مجال الدلالة فقط.</w:t>
      </w:r>
    </w:p>
    <w:p w:rsidR="002D3D60" w:rsidRPr="002D3D60" w:rsidRDefault="002D3D60" w:rsidP="002D3D60">
      <w:pPr>
        <w:numPr>
          <w:ilvl w:val="0"/>
          <w:numId w:val="8"/>
        </w:numPr>
        <w:tabs>
          <w:tab w:val="left" w:pos="1106"/>
        </w:tabs>
        <w:spacing w:line="360" w:lineRule="auto"/>
        <w:ind w:left="0" w:right="0" w:firstLine="720"/>
        <w:jc w:val="both"/>
        <w:rPr>
          <w:b/>
          <w:bCs/>
          <w:sz w:val="22"/>
          <w:szCs w:val="22"/>
          <w:lang w:eastAsia="zh-CN"/>
        </w:rPr>
      </w:pPr>
    </w:p>
    <w:p w:rsidR="002D3D60" w:rsidRPr="00A965E9" w:rsidRDefault="002D3D60" w:rsidP="002D3D60">
      <w:pPr>
        <w:spacing w:line="360" w:lineRule="auto"/>
        <w:jc w:val="both"/>
        <w:rPr>
          <w:b/>
          <w:bCs/>
          <w:u w:val="single"/>
          <w:rtl/>
          <w:lang w:eastAsia="zh-CN"/>
        </w:rPr>
      </w:pPr>
      <w:r w:rsidRPr="00A965E9">
        <w:rPr>
          <w:rFonts w:hint="cs"/>
          <w:b/>
          <w:bCs/>
          <w:u w:val="single"/>
          <w:rtl/>
          <w:lang w:eastAsia="zh-CN"/>
        </w:rPr>
        <w:t>ثانيا: الخروج على المعايير الزمانية:</w:t>
      </w:r>
    </w:p>
    <w:p w:rsidR="002D3D60" w:rsidRPr="002D3D60" w:rsidRDefault="002D3D60" w:rsidP="002D3D60">
      <w:pPr>
        <w:spacing w:line="360" w:lineRule="auto"/>
        <w:ind w:firstLine="720"/>
        <w:jc w:val="both"/>
        <w:rPr>
          <w:b/>
          <w:bCs/>
          <w:sz w:val="22"/>
          <w:szCs w:val="22"/>
          <w:rtl/>
          <w:lang w:eastAsia="zh-CN"/>
        </w:rPr>
      </w:pPr>
      <w:r w:rsidRPr="002D3D60">
        <w:rPr>
          <w:rFonts w:hint="cs"/>
          <w:b/>
          <w:bCs/>
          <w:sz w:val="22"/>
          <w:szCs w:val="22"/>
          <w:rtl/>
          <w:lang w:eastAsia="zh-CN"/>
        </w:rPr>
        <w:t>إذا نظرنا إلى معاجمنا العربية نجد أنها لم تلتزم التزاما تامًّا بهذه المعايير، حيث إنها استشهدت بشعراء ما بعد عصور الاحتجاج اللغوي، وفيما يلي توضيح ذلك:</w:t>
      </w:r>
    </w:p>
    <w:p w:rsidR="002D3D60" w:rsidRPr="00A965E9" w:rsidRDefault="002D3D60" w:rsidP="002D3D60">
      <w:pPr>
        <w:pStyle w:val="Heading3"/>
        <w:spacing w:before="0" w:after="0" w:line="360" w:lineRule="auto"/>
        <w:jc w:val="both"/>
        <w:rPr>
          <w:rFonts w:ascii="Times New Roman" w:hAnsi="Times New Roman" w:cs="Times New Roman"/>
          <w:sz w:val="22"/>
          <w:szCs w:val="22"/>
          <w:u w:val="single"/>
          <w:rtl/>
          <w:cs/>
          <w:lang w:eastAsia="zh-CN"/>
        </w:rPr>
      </w:pPr>
      <w:r w:rsidRPr="00A965E9">
        <w:rPr>
          <w:rFonts w:ascii="Times New Roman" w:hAnsi="Times New Roman" w:cs="Times New Roman" w:hint="cs"/>
          <w:sz w:val="22"/>
          <w:szCs w:val="22"/>
          <w:u w:val="single"/>
          <w:rtl/>
          <w:lang w:eastAsia="zh-CN" w:bidi="ar-SA"/>
        </w:rPr>
        <w:t>من شعراء أواخر القرن الثاني الهجري</w:t>
      </w:r>
    </w:p>
    <w:p w:rsidR="002D3D60" w:rsidRPr="002D3D60" w:rsidRDefault="002D3D60" w:rsidP="002D3D60">
      <w:pPr>
        <w:spacing w:line="360" w:lineRule="auto"/>
        <w:ind w:firstLine="720"/>
        <w:jc w:val="both"/>
        <w:rPr>
          <w:b/>
          <w:bCs/>
          <w:sz w:val="22"/>
          <w:szCs w:val="22"/>
          <w:rtl/>
          <w:lang w:eastAsia="zh-CN"/>
        </w:rPr>
      </w:pPr>
      <w:r w:rsidRPr="002D3D60">
        <w:rPr>
          <w:rFonts w:hint="cs"/>
          <w:b/>
          <w:bCs/>
          <w:sz w:val="22"/>
          <w:szCs w:val="22"/>
          <w:rtl/>
          <w:lang w:eastAsia="zh-CN"/>
        </w:rPr>
        <w:t>1. بشار بن برد (168) هـ.</w:t>
      </w:r>
    </w:p>
    <w:p w:rsidR="002D3D60" w:rsidRPr="002D3D60" w:rsidRDefault="002D3D60" w:rsidP="002D3D60">
      <w:pPr>
        <w:spacing w:line="360" w:lineRule="auto"/>
        <w:ind w:firstLine="720"/>
        <w:jc w:val="both"/>
        <w:rPr>
          <w:b/>
          <w:bCs/>
          <w:sz w:val="22"/>
          <w:szCs w:val="22"/>
          <w:rtl/>
          <w:lang w:eastAsia="zh-CN"/>
        </w:rPr>
      </w:pPr>
      <w:r w:rsidRPr="002D3D60">
        <w:rPr>
          <w:rFonts w:hint="cs"/>
          <w:b/>
          <w:bCs/>
          <w:sz w:val="22"/>
          <w:szCs w:val="22"/>
          <w:rtl/>
          <w:lang w:eastAsia="zh-CN"/>
        </w:rPr>
        <w:t>يُعدُّ بشار أول الشعراء المحدثين ورغم ذلك فقد استشهد بشعره كثير من اللغويين:</w:t>
      </w:r>
    </w:p>
    <w:p w:rsidR="002D3D60" w:rsidRPr="002D3D60" w:rsidRDefault="002D3D60" w:rsidP="002D3D60">
      <w:pPr>
        <w:spacing w:line="360" w:lineRule="auto"/>
        <w:ind w:firstLine="720"/>
        <w:jc w:val="both"/>
        <w:rPr>
          <w:b/>
          <w:bCs/>
          <w:sz w:val="22"/>
          <w:szCs w:val="22"/>
          <w:rtl/>
          <w:lang w:eastAsia="zh-CN"/>
        </w:rPr>
      </w:pPr>
      <w:r w:rsidRPr="002D3D60">
        <w:rPr>
          <w:rFonts w:hint="cs"/>
          <w:b/>
          <w:bCs/>
          <w:sz w:val="22"/>
          <w:szCs w:val="22"/>
          <w:rtl/>
          <w:lang w:eastAsia="zh-CN"/>
        </w:rPr>
        <w:t>فالخليل استشهد في معجم العين بشعر بشار(</w:t>
      </w:r>
      <w:r w:rsidRPr="002D3D60">
        <w:rPr>
          <w:b/>
          <w:bCs/>
          <w:sz w:val="22"/>
          <w:szCs w:val="22"/>
          <w:rtl/>
          <w:lang w:eastAsia="zh-CN"/>
        </w:rPr>
        <w:footnoteReference w:id="1"/>
      </w:r>
      <w:r w:rsidRPr="002D3D60">
        <w:rPr>
          <w:rFonts w:hint="cs"/>
          <w:b/>
          <w:bCs/>
          <w:sz w:val="22"/>
          <w:szCs w:val="22"/>
          <w:rtl/>
          <w:lang w:eastAsia="zh-CN"/>
        </w:rPr>
        <w:t>)</w:t>
      </w:r>
    </w:p>
    <w:p w:rsidR="002D3D60" w:rsidRPr="002D3D60" w:rsidRDefault="002D3D60" w:rsidP="002D3D60">
      <w:pPr>
        <w:spacing w:line="360" w:lineRule="auto"/>
        <w:ind w:firstLine="720"/>
        <w:jc w:val="both"/>
        <w:rPr>
          <w:b/>
          <w:bCs/>
          <w:sz w:val="22"/>
          <w:szCs w:val="22"/>
          <w:rtl/>
          <w:lang w:eastAsia="zh-CN"/>
        </w:rPr>
      </w:pPr>
      <w:r w:rsidRPr="002D3D60">
        <w:rPr>
          <w:rFonts w:hint="cs"/>
          <w:b/>
          <w:bCs/>
          <w:sz w:val="22"/>
          <w:szCs w:val="22"/>
          <w:rtl/>
          <w:lang w:eastAsia="zh-CN"/>
        </w:rPr>
        <w:t>وأحمد بن فارس استشهد بشعره في معجمه المجمل(</w:t>
      </w:r>
      <w:r w:rsidRPr="002D3D60">
        <w:rPr>
          <w:b/>
          <w:bCs/>
          <w:sz w:val="22"/>
          <w:szCs w:val="22"/>
          <w:rtl/>
          <w:lang w:eastAsia="zh-CN"/>
        </w:rPr>
        <w:footnoteReference w:id="2"/>
      </w:r>
      <w:r w:rsidRPr="002D3D60">
        <w:rPr>
          <w:rFonts w:hint="cs"/>
          <w:b/>
          <w:bCs/>
          <w:sz w:val="22"/>
          <w:szCs w:val="22"/>
          <w:rtl/>
          <w:lang w:eastAsia="zh-CN"/>
        </w:rPr>
        <w:t>).</w:t>
      </w:r>
    </w:p>
    <w:p w:rsidR="002D3D60" w:rsidRPr="002D3D60" w:rsidRDefault="002D3D60" w:rsidP="002D3D60">
      <w:pPr>
        <w:spacing w:line="360" w:lineRule="auto"/>
        <w:ind w:firstLine="720"/>
        <w:jc w:val="both"/>
        <w:rPr>
          <w:b/>
          <w:bCs/>
          <w:sz w:val="22"/>
          <w:szCs w:val="22"/>
          <w:rtl/>
          <w:lang w:eastAsia="zh-CN"/>
        </w:rPr>
      </w:pPr>
      <w:r w:rsidRPr="002D3D60">
        <w:rPr>
          <w:rFonts w:hint="cs"/>
          <w:b/>
          <w:bCs/>
          <w:sz w:val="22"/>
          <w:szCs w:val="22"/>
          <w:rtl/>
          <w:lang w:eastAsia="zh-CN"/>
        </w:rPr>
        <w:t>وابن منظور استشهد في لسان العرب بشعر بشار(</w:t>
      </w:r>
      <w:r w:rsidRPr="002D3D60">
        <w:rPr>
          <w:b/>
          <w:bCs/>
          <w:sz w:val="22"/>
          <w:szCs w:val="22"/>
          <w:rtl/>
          <w:lang w:eastAsia="zh-CN"/>
        </w:rPr>
        <w:footnoteReference w:id="3"/>
      </w:r>
      <w:r w:rsidRPr="002D3D60">
        <w:rPr>
          <w:rFonts w:hint="cs"/>
          <w:b/>
          <w:bCs/>
          <w:sz w:val="22"/>
          <w:szCs w:val="22"/>
          <w:rtl/>
          <w:lang w:eastAsia="zh-CN"/>
        </w:rPr>
        <w:t>).</w:t>
      </w:r>
    </w:p>
    <w:p w:rsidR="002D3D60" w:rsidRPr="002D3D60" w:rsidRDefault="002D3D60" w:rsidP="002D3D60">
      <w:pPr>
        <w:spacing w:line="360" w:lineRule="auto"/>
        <w:ind w:firstLine="720"/>
        <w:jc w:val="both"/>
        <w:rPr>
          <w:b/>
          <w:bCs/>
          <w:sz w:val="22"/>
          <w:szCs w:val="22"/>
          <w:lang w:eastAsia="zh-CN"/>
        </w:rPr>
      </w:pPr>
      <w:r w:rsidRPr="002D3D60">
        <w:rPr>
          <w:rFonts w:hint="cs"/>
          <w:b/>
          <w:bCs/>
          <w:sz w:val="22"/>
          <w:szCs w:val="22"/>
          <w:rtl/>
          <w:lang w:eastAsia="zh-CN"/>
        </w:rPr>
        <w:t>وأبو منصور الأزهري استشهد في التهذيب بشعر بشار(</w:t>
      </w:r>
      <w:r w:rsidRPr="002D3D60">
        <w:rPr>
          <w:b/>
          <w:bCs/>
          <w:sz w:val="22"/>
          <w:szCs w:val="22"/>
          <w:rtl/>
          <w:lang w:eastAsia="zh-CN"/>
        </w:rPr>
        <w:footnoteReference w:id="4"/>
      </w:r>
      <w:r w:rsidRPr="002D3D60">
        <w:rPr>
          <w:rFonts w:hint="cs"/>
          <w:b/>
          <w:bCs/>
          <w:sz w:val="22"/>
          <w:szCs w:val="22"/>
          <w:rtl/>
          <w:lang w:eastAsia="zh-CN"/>
        </w:rPr>
        <w:t>).</w:t>
      </w:r>
    </w:p>
    <w:p w:rsidR="002D3D60" w:rsidRPr="00A965E9" w:rsidRDefault="00A965E9" w:rsidP="002D3D60">
      <w:pPr>
        <w:pStyle w:val="Heading3"/>
        <w:spacing w:before="0" w:after="0" w:line="360" w:lineRule="auto"/>
        <w:jc w:val="both"/>
        <w:rPr>
          <w:rFonts w:ascii="Times New Roman" w:hAnsi="Times New Roman" w:cs="Times New Roman"/>
          <w:sz w:val="22"/>
          <w:szCs w:val="22"/>
          <w:u w:val="single"/>
          <w:rtl/>
          <w:cs/>
          <w:lang w:eastAsia="zh-CN"/>
        </w:rPr>
      </w:pPr>
      <w:r>
        <w:rPr>
          <w:rFonts w:ascii="Times New Roman" w:hAnsi="Times New Roman" w:cs="Times New Roman" w:hint="cs"/>
          <w:sz w:val="22"/>
          <w:szCs w:val="22"/>
          <w:u w:val="single"/>
          <w:rtl/>
          <w:lang w:eastAsia="zh-CN" w:bidi="ar-SA"/>
        </w:rPr>
        <w:lastRenderedPageBreak/>
        <w:t>و</w:t>
      </w:r>
      <w:r w:rsidR="002D3D60" w:rsidRPr="00A965E9">
        <w:rPr>
          <w:rFonts w:ascii="Times New Roman" w:hAnsi="Times New Roman" w:cs="Times New Roman" w:hint="cs"/>
          <w:sz w:val="22"/>
          <w:szCs w:val="22"/>
          <w:u w:val="single"/>
          <w:rtl/>
          <w:lang w:eastAsia="zh-CN" w:bidi="ar-SA"/>
        </w:rPr>
        <w:t>من شعراء القرن الثالث الهجري</w:t>
      </w:r>
    </w:p>
    <w:p w:rsidR="002D3D60" w:rsidRPr="002D3D60" w:rsidRDefault="002D3D60" w:rsidP="002D3D60">
      <w:pPr>
        <w:spacing w:line="360" w:lineRule="auto"/>
        <w:ind w:firstLine="720"/>
        <w:jc w:val="both"/>
        <w:rPr>
          <w:b/>
          <w:bCs/>
          <w:sz w:val="22"/>
          <w:szCs w:val="22"/>
          <w:rtl/>
          <w:lang w:eastAsia="zh-CN"/>
        </w:rPr>
      </w:pPr>
      <w:r w:rsidRPr="002D3D60">
        <w:rPr>
          <w:rFonts w:hint="cs"/>
          <w:b/>
          <w:bCs/>
          <w:sz w:val="22"/>
          <w:szCs w:val="22"/>
          <w:rtl/>
          <w:lang w:eastAsia="zh-CN"/>
        </w:rPr>
        <w:t>1- كلثوم بن عمرو العتابي (208هـ):</w:t>
      </w:r>
    </w:p>
    <w:p w:rsidR="002D3D60" w:rsidRPr="002D3D60" w:rsidRDefault="002D3D60" w:rsidP="002D3D60">
      <w:pPr>
        <w:spacing w:line="360" w:lineRule="auto"/>
        <w:ind w:firstLine="720"/>
        <w:jc w:val="both"/>
        <w:rPr>
          <w:b/>
          <w:bCs/>
          <w:sz w:val="22"/>
          <w:szCs w:val="22"/>
          <w:rtl/>
          <w:lang w:eastAsia="zh-CN"/>
        </w:rPr>
      </w:pPr>
      <w:r w:rsidRPr="002D3D60">
        <w:rPr>
          <w:rFonts w:hint="cs"/>
          <w:b/>
          <w:bCs/>
          <w:sz w:val="22"/>
          <w:szCs w:val="22"/>
          <w:rtl/>
          <w:lang w:eastAsia="zh-CN"/>
        </w:rPr>
        <w:t>احتجَّ به الجوهري في صحاحه في مادة (بوارد)، كما احتج به ابن منظور في مادتي (أخذ،                                   برد) (</w:t>
      </w:r>
      <w:r w:rsidRPr="002D3D60">
        <w:rPr>
          <w:b/>
          <w:bCs/>
          <w:sz w:val="22"/>
          <w:szCs w:val="22"/>
          <w:rtl/>
          <w:lang w:eastAsia="zh-CN"/>
        </w:rPr>
        <w:footnoteReference w:id="5"/>
      </w:r>
      <w:r w:rsidRPr="002D3D60">
        <w:rPr>
          <w:rFonts w:hint="cs"/>
          <w:b/>
          <w:bCs/>
          <w:sz w:val="22"/>
          <w:szCs w:val="22"/>
          <w:rtl/>
          <w:lang w:eastAsia="zh-CN"/>
        </w:rPr>
        <w:t xml:space="preserve">) </w:t>
      </w:r>
    </w:p>
    <w:p w:rsidR="002D3D60" w:rsidRPr="002D3D60" w:rsidRDefault="002D3D60" w:rsidP="002D3D60">
      <w:pPr>
        <w:pStyle w:val="BodyText"/>
        <w:spacing w:after="0" w:line="360" w:lineRule="auto"/>
        <w:ind w:firstLine="720"/>
        <w:jc w:val="both"/>
        <w:rPr>
          <w:b/>
          <w:bCs/>
          <w:sz w:val="22"/>
          <w:szCs w:val="22"/>
          <w:rtl/>
          <w:cs/>
          <w:lang w:eastAsia="zh-CN"/>
        </w:rPr>
      </w:pPr>
      <w:r w:rsidRPr="002D3D60">
        <w:rPr>
          <w:rFonts w:hint="cs"/>
          <w:b/>
          <w:bCs/>
          <w:sz w:val="22"/>
          <w:szCs w:val="22"/>
          <w:rtl/>
          <w:lang w:eastAsia="zh-CN" w:bidi="ar-SA"/>
        </w:rPr>
        <w:t xml:space="preserve">2- أبو العتاهية </w:t>
      </w:r>
      <w:r w:rsidRPr="002D3D60">
        <w:rPr>
          <w:rFonts w:hint="cs"/>
          <w:b/>
          <w:bCs/>
          <w:sz w:val="22"/>
          <w:szCs w:val="22"/>
          <w:rtl/>
          <w:cs/>
          <w:lang w:eastAsia="zh-CN"/>
        </w:rPr>
        <w:t>(</w:t>
      </w:r>
      <w:r w:rsidRPr="002D3D60">
        <w:rPr>
          <w:rFonts w:hint="cs"/>
          <w:b/>
          <w:bCs/>
          <w:sz w:val="22"/>
          <w:szCs w:val="22"/>
          <w:rtl/>
          <w:cs/>
          <w:lang w:eastAsia="zh-CN" w:bidi="ar-SA"/>
        </w:rPr>
        <w:t>إسماعيل بن القاسم</w:t>
      </w:r>
      <w:r w:rsidRPr="002D3D60">
        <w:rPr>
          <w:rFonts w:hint="cs"/>
          <w:b/>
          <w:bCs/>
          <w:sz w:val="22"/>
          <w:szCs w:val="22"/>
          <w:rtl/>
          <w:cs/>
          <w:lang w:eastAsia="zh-CN"/>
        </w:rPr>
        <w:t>) (211)</w:t>
      </w:r>
      <w:r w:rsidRPr="002D3D60">
        <w:rPr>
          <w:rFonts w:hint="cs"/>
          <w:b/>
          <w:bCs/>
          <w:sz w:val="22"/>
          <w:szCs w:val="22"/>
          <w:rtl/>
          <w:cs/>
          <w:lang w:eastAsia="zh-CN" w:bidi="ar-SA"/>
        </w:rPr>
        <w:t>هـ</w:t>
      </w:r>
      <w:r w:rsidRPr="002D3D60">
        <w:rPr>
          <w:rFonts w:hint="cs"/>
          <w:b/>
          <w:bCs/>
          <w:sz w:val="22"/>
          <w:szCs w:val="22"/>
          <w:rtl/>
          <w:cs/>
          <w:lang w:eastAsia="zh-CN"/>
        </w:rPr>
        <w:t>.</w:t>
      </w:r>
    </w:p>
    <w:p w:rsidR="002D3D60" w:rsidRPr="002D3D60" w:rsidRDefault="002D3D60" w:rsidP="002D3D60">
      <w:pPr>
        <w:spacing w:line="360" w:lineRule="auto"/>
        <w:ind w:firstLine="720"/>
        <w:jc w:val="both"/>
        <w:rPr>
          <w:b/>
          <w:bCs/>
          <w:sz w:val="22"/>
          <w:szCs w:val="22"/>
          <w:rtl/>
          <w:lang w:eastAsia="zh-CN"/>
        </w:rPr>
      </w:pPr>
      <w:r w:rsidRPr="002D3D60">
        <w:rPr>
          <w:rFonts w:hint="cs"/>
          <w:b/>
          <w:bCs/>
          <w:sz w:val="22"/>
          <w:szCs w:val="22"/>
          <w:rtl/>
          <w:lang w:eastAsia="zh-CN"/>
        </w:rPr>
        <w:t>احتج الأزهري بشعره في مادة (ودع)، كذلك احتج به ابن منظور في مادة (ودع) أيضا(</w:t>
      </w:r>
      <w:r w:rsidRPr="002D3D60">
        <w:rPr>
          <w:b/>
          <w:bCs/>
          <w:sz w:val="22"/>
          <w:szCs w:val="22"/>
          <w:rtl/>
          <w:lang w:eastAsia="zh-CN"/>
        </w:rPr>
        <w:footnoteReference w:id="6"/>
      </w:r>
      <w:r w:rsidRPr="002D3D60">
        <w:rPr>
          <w:rFonts w:hint="cs"/>
          <w:b/>
          <w:bCs/>
          <w:sz w:val="22"/>
          <w:szCs w:val="22"/>
          <w:rtl/>
          <w:lang w:eastAsia="zh-CN"/>
        </w:rPr>
        <w:t xml:space="preserve">) </w:t>
      </w:r>
    </w:p>
    <w:p w:rsidR="002D3D60" w:rsidRPr="002D3D60" w:rsidRDefault="002D3D60" w:rsidP="002D3D60">
      <w:pPr>
        <w:spacing w:line="360" w:lineRule="auto"/>
        <w:ind w:firstLine="720"/>
        <w:jc w:val="both"/>
        <w:rPr>
          <w:b/>
          <w:bCs/>
          <w:sz w:val="22"/>
          <w:szCs w:val="22"/>
          <w:rtl/>
          <w:lang w:eastAsia="zh-CN"/>
        </w:rPr>
      </w:pPr>
      <w:r w:rsidRPr="002D3D60">
        <w:rPr>
          <w:rFonts w:hint="cs"/>
          <w:b/>
          <w:bCs/>
          <w:sz w:val="22"/>
          <w:szCs w:val="22"/>
          <w:rtl/>
          <w:lang w:eastAsia="zh-CN"/>
        </w:rPr>
        <w:t>3- حبيب بن أوس الطائي (أبو تمام) (231)هـ.</w:t>
      </w:r>
    </w:p>
    <w:p w:rsidR="002D3D60" w:rsidRPr="002D3D60" w:rsidRDefault="002D3D60" w:rsidP="002D3D60">
      <w:pPr>
        <w:spacing w:line="360" w:lineRule="auto"/>
        <w:ind w:firstLine="720"/>
        <w:jc w:val="both"/>
        <w:rPr>
          <w:b/>
          <w:bCs/>
          <w:sz w:val="22"/>
          <w:szCs w:val="22"/>
          <w:rtl/>
          <w:lang w:eastAsia="zh-CN"/>
        </w:rPr>
      </w:pPr>
      <w:r w:rsidRPr="002D3D60">
        <w:rPr>
          <w:rFonts w:hint="cs"/>
          <w:b/>
          <w:bCs/>
          <w:sz w:val="22"/>
          <w:szCs w:val="22"/>
          <w:rtl/>
          <w:lang w:eastAsia="zh-CN"/>
        </w:rPr>
        <w:t>استشهد ابن منظور بشعره في مادتي (بهرم، مضر) (</w:t>
      </w:r>
      <w:r w:rsidRPr="002D3D60">
        <w:rPr>
          <w:b/>
          <w:bCs/>
          <w:sz w:val="22"/>
          <w:szCs w:val="22"/>
          <w:rtl/>
          <w:lang w:eastAsia="zh-CN"/>
        </w:rPr>
        <w:footnoteReference w:id="7"/>
      </w:r>
      <w:r w:rsidRPr="002D3D60">
        <w:rPr>
          <w:rFonts w:hint="cs"/>
          <w:b/>
          <w:bCs/>
          <w:sz w:val="22"/>
          <w:szCs w:val="22"/>
          <w:rtl/>
          <w:lang w:eastAsia="zh-CN"/>
        </w:rPr>
        <w:t>).</w:t>
      </w:r>
    </w:p>
    <w:p w:rsidR="002D3D60" w:rsidRPr="00A965E9" w:rsidRDefault="00A965E9" w:rsidP="002D3D60">
      <w:pPr>
        <w:pStyle w:val="Heading3"/>
        <w:spacing w:before="0" w:after="0" w:line="360" w:lineRule="auto"/>
        <w:jc w:val="both"/>
        <w:rPr>
          <w:rFonts w:ascii="Times New Roman" w:hAnsi="Times New Roman" w:cs="Times New Roman"/>
          <w:sz w:val="22"/>
          <w:szCs w:val="22"/>
          <w:u w:val="single"/>
          <w:rtl/>
          <w:lang w:eastAsia="zh-CN" w:bidi="ar-SA"/>
        </w:rPr>
      </w:pPr>
      <w:r>
        <w:rPr>
          <w:rFonts w:ascii="Times New Roman" w:hAnsi="Times New Roman" w:cs="Times New Roman" w:hint="cs"/>
          <w:sz w:val="22"/>
          <w:szCs w:val="22"/>
          <w:u w:val="single"/>
          <w:rtl/>
          <w:lang w:eastAsia="zh-CN" w:bidi="ar-SA"/>
        </w:rPr>
        <w:t xml:space="preserve">ومن </w:t>
      </w:r>
      <w:r w:rsidR="002D3D60" w:rsidRPr="00A965E9">
        <w:rPr>
          <w:rFonts w:ascii="Times New Roman" w:hAnsi="Times New Roman" w:cs="Times New Roman" w:hint="cs"/>
          <w:sz w:val="22"/>
          <w:szCs w:val="22"/>
          <w:u w:val="single"/>
          <w:rtl/>
          <w:lang w:eastAsia="zh-CN" w:bidi="ar-SA"/>
        </w:rPr>
        <w:t>شعراء القرن الرابع الهجري</w:t>
      </w:r>
      <w:r>
        <w:rPr>
          <w:rFonts w:ascii="Times New Roman" w:hAnsi="Times New Roman" w:cs="Times New Roman" w:hint="cs"/>
          <w:sz w:val="22"/>
          <w:szCs w:val="22"/>
          <w:u w:val="single"/>
          <w:rtl/>
          <w:lang w:eastAsia="zh-CN" w:bidi="ar-SA"/>
        </w:rPr>
        <w:t>:</w:t>
      </w:r>
    </w:p>
    <w:p w:rsidR="002D3D60" w:rsidRPr="00A965E9" w:rsidRDefault="002D3D60" w:rsidP="00A965E9">
      <w:pPr>
        <w:pStyle w:val="Heading2"/>
        <w:rPr>
          <w:sz w:val="22"/>
          <w:szCs w:val="22"/>
          <w:u w:val="none"/>
          <w:rtl/>
        </w:rPr>
      </w:pPr>
      <w:r w:rsidRPr="00A965E9">
        <w:rPr>
          <w:rFonts w:hint="cs"/>
          <w:sz w:val="22"/>
          <w:szCs w:val="22"/>
          <w:u w:val="none"/>
          <w:rtl/>
        </w:rPr>
        <w:t xml:space="preserve">             أبو الطيب أحمد بن الحسين المتنبي (354هـ)</w:t>
      </w:r>
    </w:p>
    <w:p w:rsidR="002D3D60" w:rsidRPr="002D3D60" w:rsidRDefault="002D3D60" w:rsidP="002D3D60">
      <w:pPr>
        <w:spacing w:line="360" w:lineRule="auto"/>
        <w:ind w:firstLine="720"/>
        <w:jc w:val="both"/>
        <w:rPr>
          <w:b/>
          <w:bCs/>
          <w:sz w:val="22"/>
          <w:szCs w:val="22"/>
          <w:rtl/>
          <w:lang w:eastAsia="zh-CN"/>
        </w:rPr>
      </w:pPr>
      <w:r w:rsidRPr="002D3D60">
        <w:rPr>
          <w:rFonts w:hint="cs"/>
          <w:b/>
          <w:bCs/>
          <w:sz w:val="22"/>
          <w:szCs w:val="22"/>
          <w:rtl/>
          <w:lang w:eastAsia="zh-CN"/>
        </w:rPr>
        <w:t>احتج الجوهري بشعر المتنبي في مادة (ظمأ)، واحتج به ابن منظور في المواد (أول، قوم، بون، رأي) (</w:t>
      </w:r>
      <w:r w:rsidRPr="002D3D60">
        <w:rPr>
          <w:b/>
          <w:bCs/>
          <w:sz w:val="22"/>
          <w:szCs w:val="22"/>
          <w:rtl/>
          <w:lang w:eastAsia="zh-CN"/>
        </w:rPr>
        <w:footnoteReference w:id="8"/>
      </w:r>
      <w:r w:rsidRPr="002D3D60">
        <w:rPr>
          <w:rFonts w:hint="cs"/>
          <w:b/>
          <w:bCs/>
          <w:sz w:val="22"/>
          <w:szCs w:val="22"/>
          <w:rtl/>
          <w:lang w:eastAsia="zh-CN"/>
        </w:rPr>
        <w:t xml:space="preserve">). </w:t>
      </w:r>
    </w:p>
    <w:p w:rsidR="002D3D60" w:rsidRPr="00A965E9" w:rsidRDefault="00A965E9" w:rsidP="002D3D60">
      <w:pPr>
        <w:pStyle w:val="Heading3"/>
        <w:spacing w:before="0" w:after="0" w:line="360" w:lineRule="auto"/>
        <w:jc w:val="both"/>
        <w:rPr>
          <w:rFonts w:ascii="Times New Roman" w:hAnsi="Times New Roman" w:cs="Times New Roman"/>
          <w:sz w:val="22"/>
          <w:szCs w:val="22"/>
          <w:u w:val="single"/>
          <w:rtl/>
          <w:cs/>
          <w:lang w:eastAsia="zh-CN"/>
        </w:rPr>
      </w:pPr>
      <w:r>
        <w:rPr>
          <w:rFonts w:ascii="Times New Roman" w:hAnsi="Times New Roman" w:cs="Times New Roman" w:hint="cs"/>
          <w:sz w:val="22"/>
          <w:szCs w:val="22"/>
          <w:u w:val="single"/>
          <w:rtl/>
          <w:lang w:eastAsia="zh-CN" w:bidi="ar-SA"/>
        </w:rPr>
        <w:t xml:space="preserve">ومن </w:t>
      </w:r>
      <w:r w:rsidR="002D3D60" w:rsidRPr="00A965E9">
        <w:rPr>
          <w:rFonts w:ascii="Times New Roman" w:hAnsi="Times New Roman" w:cs="Times New Roman" w:hint="cs"/>
          <w:sz w:val="22"/>
          <w:szCs w:val="22"/>
          <w:u w:val="single"/>
          <w:rtl/>
          <w:lang w:eastAsia="zh-CN" w:bidi="ar-SA"/>
        </w:rPr>
        <w:t>شعراء القرن الخامس الهجري</w:t>
      </w:r>
    </w:p>
    <w:p w:rsidR="002D3D60" w:rsidRPr="002D3D60" w:rsidRDefault="002D3D60" w:rsidP="002D3D60">
      <w:pPr>
        <w:spacing w:line="360" w:lineRule="auto"/>
        <w:ind w:firstLine="720"/>
        <w:jc w:val="both"/>
        <w:rPr>
          <w:b/>
          <w:bCs/>
          <w:sz w:val="22"/>
          <w:szCs w:val="22"/>
          <w:rtl/>
          <w:lang w:eastAsia="zh-CN"/>
        </w:rPr>
      </w:pPr>
      <w:r w:rsidRPr="002D3D60">
        <w:rPr>
          <w:rFonts w:hint="cs"/>
          <w:b/>
          <w:bCs/>
          <w:sz w:val="22"/>
          <w:szCs w:val="22"/>
          <w:rtl/>
          <w:lang w:eastAsia="zh-CN"/>
        </w:rPr>
        <w:t xml:space="preserve">     الشريف الرضي (400هـ)</w:t>
      </w:r>
    </w:p>
    <w:p w:rsidR="002D3D60" w:rsidRDefault="002D3D60" w:rsidP="002D3D60">
      <w:pPr>
        <w:spacing w:line="360" w:lineRule="auto"/>
        <w:ind w:firstLine="720"/>
        <w:jc w:val="both"/>
        <w:rPr>
          <w:rFonts w:cs="Simplified Arabic"/>
          <w:sz w:val="28"/>
          <w:szCs w:val="28"/>
          <w:rtl/>
        </w:rPr>
      </w:pPr>
      <w:r w:rsidRPr="002D3D60">
        <w:rPr>
          <w:rFonts w:hint="cs"/>
          <w:b/>
          <w:bCs/>
          <w:sz w:val="22"/>
          <w:szCs w:val="22"/>
          <w:rtl/>
          <w:lang w:eastAsia="zh-CN"/>
        </w:rPr>
        <w:t xml:space="preserve">احتج به ابن منظور في مادة (أبا) </w:t>
      </w:r>
      <w:r w:rsidRPr="00D138FB">
        <w:rPr>
          <w:rFonts w:cs="Simplified Arabic" w:hint="cs"/>
          <w:sz w:val="28"/>
          <w:szCs w:val="28"/>
          <w:vertAlign w:val="superscript"/>
          <w:rtl/>
        </w:rPr>
        <w:t>(</w:t>
      </w:r>
      <w:r w:rsidRPr="00D138FB">
        <w:rPr>
          <w:rStyle w:val="FootnoteReference"/>
          <w:rFonts w:cs="Simplified Arabic"/>
          <w:sz w:val="28"/>
          <w:szCs w:val="28"/>
          <w:rtl/>
        </w:rPr>
        <w:footnoteReference w:id="9"/>
      </w:r>
      <w:r w:rsidRPr="00D138FB">
        <w:rPr>
          <w:rFonts w:cs="Simplified Arabic" w:hint="cs"/>
          <w:sz w:val="28"/>
          <w:szCs w:val="28"/>
          <w:vertAlign w:val="superscript"/>
          <w:rtl/>
        </w:rPr>
        <w:t>)</w:t>
      </w:r>
    </w:p>
    <w:p w:rsidR="00EC4FD0" w:rsidRPr="00831274" w:rsidRDefault="00EC4FD0" w:rsidP="00EC4FD0">
      <w:pPr>
        <w:suppressAutoHyphens/>
        <w:ind w:firstLine="567"/>
        <w:jc w:val="both"/>
        <w:rPr>
          <w:b/>
          <w:bCs/>
          <w:sz w:val="28"/>
          <w:szCs w:val="28"/>
          <w:rtl/>
          <w:lang w:eastAsia="zh-CN"/>
        </w:rPr>
      </w:pPr>
      <w:r w:rsidRPr="00831274">
        <w:rPr>
          <w:rFonts w:hint="cs"/>
          <w:b/>
          <w:bCs/>
          <w:sz w:val="28"/>
          <w:szCs w:val="28"/>
          <w:rtl/>
          <w:lang w:eastAsia="zh-CN"/>
        </w:rPr>
        <w:t>المصادر والمراجع</w:t>
      </w:r>
      <w:r>
        <w:rPr>
          <w:rFonts w:hint="cs"/>
          <w:b/>
          <w:bCs/>
          <w:sz w:val="28"/>
          <w:szCs w:val="28"/>
          <w:rtl/>
          <w:lang w:eastAsia="zh-CN"/>
        </w:rPr>
        <w:t>:</w:t>
      </w:r>
    </w:p>
    <w:p w:rsidR="00EC4FD0" w:rsidRPr="00831274" w:rsidRDefault="00EC4FD0" w:rsidP="00EC4FD0">
      <w:pPr>
        <w:suppressAutoHyphens/>
        <w:ind w:firstLine="567"/>
        <w:jc w:val="both"/>
        <w:rPr>
          <w:b/>
          <w:bCs/>
          <w:sz w:val="22"/>
          <w:szCs w:val="22"/>
          <w:rtl/>
          <w:lang w:eastAsia="zh-CN"/>
        </w:rPr>
      </w:pPr>
    </w:p>
    <w:p w:rsidR="00EC4FD0" w:rsidRPr="00831274" w:rsidRDefault="00EC4FD0" w:rsidP="00EC4FD0">
      <w:pPr>
        <w:pStyle w:val="ListParagraph"/>
        <w:numPr>
          <w:ilvl w:val="0"/>
          <w:numId w:val="6"/>
        </w:numPr>
        <w:spacing w:line="360" w:lineRule="auto"/>
        <w:jc w:val="lowKashida"/>
        <w:rPr>
          <w:b/>
          <w:bCs/>
          <w:sz w:val="22"/>
          <w:szCs w:val="22"/>
          <w:lang w:eastAsia="zh-CN"/>
        </w:rPr>
      </w:pPr>
      <w:r w:rsidRPr="00831274">
        <w:rPr>
          <w:rFonts w:hint="cs"/>
          <w:b/>
          <w:bCs/>
          <w:sz w:val="22"/>
          <w:szCs w:val="22"/>
          <w:rtl/>
          <w:lang w:eastAsia="zh-CN"/>
        </w:rPr>
        <w:t xml:space="preserve">الاستشهاد والاحتجاج باللغة، محمد عيد، عالم الكتب، ط3، 1366هـ/1988م. </w:t>
      </w:r>
    </w:p>
    <w:p w:rsidR="00EC4FD0" w:rsidRPr="00831274" w:rsidRDefault="00EC4FD0" w:rsidP="00EC4FD0">
      <w:pPr>
        <w:pStyle w:val="ListParagraph"/>
        <w:numPr>
          <w:ilvl w:val="0"/>
          <w:numId w:val="6"/>
        </w:numPr>
        <w:spacing w:line="360" w:lineRule="auto"/>
        <w:jc w:val="lowKashida"/>
        <w:rPr>
          <w:b/>
          <w:bCs/>
          <w:sz w:val="22"/>
          <w:szCs w:val="22"/>
          <w:rtl/>
          <w:lang w:eastAsia="zh-CN"/>
        </w:rPr>
      </w:pPr>
      <w:r w:rsidRPr="00831274">
        <w:rPr>
          <w:rFonts w:hint="cs"/>
          <w:b/>
          <w:bCs/>
          <w:sz w:val="22"/>
          <w:szCs w:val="22"/>
          <w:rtl/>
          <w:lang w:eastAsia="zh-CN"/>
        </w:rPr>
        <w:t xml:space="preserve">أصول التفكير النحوى،علي أبو المكارم، منشورات الجامعة الليبية، كلية التربية، مطابع دار القلم، بيروت ، لبنان، 1972م .  </w:t>
      </w:r>
    </w:p>
    <w:p w:rsidR="00EC4FD0" w:rsidRPr="00831274" w:rsidRDefault="00EC4FD0" w:rsidP="00EC4FD0">
      <w:pPr>
        <w:pStyle w:val="ListParagraph"/>
        <w:numPr>
          <w:ilvl w:val="0"/>
          <w:numId w:val="6"/>
        </w:numPr>
        <w:spacing w:line="360" w:lineRule="auto"/>
        <w:jc w:val="lowKashida"/>
        <w:rPr>
          <w:b/>
          <w:bCs/>
          <w:sz w:val="22"/>
          <w:szCs w:val="22"/>
          <w:rtl/>
          <w:lang w:eastAsia="zh-CN"/>
        </w:rPr>
      </w:pPr>
      <w:r w:rsidRPr="00831274">
        <w:rPr>
          <w:rFonts w:hint="cs"/>
          <w:b/>
          <w:bCs/>
          <w:sz w:val="22"/>
          <w:szCs w:val="22"/>
          <w:rtl/>
          <w:lang w:eastAsia="zh-CN"/>
        </w:rPr>
        <w:t xml:space="preserve">أصول النحو العربي، محمد خير الحلواني، مطبعة الشرق، حلب، 1979م. </w:t>
      </w:r>
    </w:p>
    <w:p w:rsidR="00EC4FD0" w:rsidRDefault="00EC4FD0" w:rsidP="00EC4FD0">
      <w:pPr>
        <w:pStyle w:val="references"/>
        <w:numPr>
          <w:ilvl w:val="0"/>
          <w:numId w:val="6"/>
        </w:numPr>
        <w:bidi/>
        <w:rPr>
          <w:rFonts w:eastAsia="Times New Roman"/>
          <w:b/>
          <w:bCs/>
          <w:sz w:val="22"/>
          <w:szCs w:val="22"/>
          <w:lang w:eastAsia="zh-CN"/>
        </w:rPr>
      </w:pPr>
      <w:r w:rsidRPr="00831274">
        <w:rPr>
          <w:rFonts w:eastAsia="Times New Roman" w:hint="cs"/>
          <w:b/>
          <w:bCs/>
          <w:sz w:val="22"/>
          <w:szCs w:val="22"/>
          <w:rtl/>
          <w:lang w:eastAsia="zh-CN"/>
        </w:rPr>
        <w:lastRenderedPageBreak/>
        <w:t>أصول النحو العربي،محمود أحمد نحلة، دار العلوم العربية، بيروت، ط1، 1407هـ/1987م.</w:t>
      </w:r>
    </w:p>
    <w:p w:rsidR="00EC4FD0" w:rsidRDefault="00EC4FD0" w:rsidP="00EC4FD0">
      <w:pPr>
        <w:pStyle w:val="references"/>
        <w:numPr>
          <w:ilvl w:val="0"/>
          <w:numId w:val="6"/>
        </w:numPr>
        <w:bidi/>
        <w:rPr>
          <w:rFonts w:eastAsia="Times New Roman"/>
          <w:b/>
          <w:bCs/>
          <w:sz w:val="22"/>
          <w:szCs w:val="22"/>
          <w:lang w:eastAsia="zh-CN"/>
        </w:rPr>
      </w:pPr>
      <w:r w:rsidRPr="00831274">
        <w:rPr>
          <w:rFonts w:eastAsia="Times New Roman" w:hint="cs"/>
          <w:b/>
          <w:bCs/>
          <w:sz w:val="22"/>
          <w:szCs w:val="22"/>
          <w:rtl/>
          <w:lang w:eastAsia="zh-CN"/>
        </w:rPr>
        <w:t>الاقتراح في علم أصول النحو، جلال الدين السيوطي، تحقيق</w:t>
      </w:r>
      <w:r w:rsidRPr="00831274">
        <w:rPr>
          <w:rFonts w:eastAsia="Times New Roman" w:hint="cs"/>
          <w:b/>
          <w:bCs/>
          <w:sz w:val="22"/>
          <w:szCs w:val="22"/>
          <w:rtl/>
          <w:cs/>
          <w:lang w:eastAsia="zh-CN"/>
        </w:rPr>
        <w:t xml:space="preserve">: أحمد محمد قاسم، مطبعة السعادة، القاهرة، </w:t>
      </w:r>
      <w:r w:rsidRPr="00831274">
        <w:rPr>
          <w:rFonts w:eastAsia="Times New Roman" w:hint="cs"/>
          <w:b/>
          <w:bCs/>
          <w:sz w:val="22"/>
          <w:szCs w:val="22"/>
          <w:rtl/>
          <w:lang w:eastAsia="zh-CN"/>
        </w:rPr>
        <w:t xml:space="preserve">ط1، </w:t>
      </w:r>
      <w:r w:rsidRPr="00831274">
        <w:rPr>
          <w:rFonts w:eastAsia="Times New Roman" w:hint="cs"/>
          <w:b/>
          <w:bCs/>
          <w:sz w:val="22"/>
          <w:szCs w:val="22"/>
          <w:rtl/>
          <w:cs/>
          <w:lang w:eastAsia="zh-CN"/>
        </w:rPr>
        <w:t>1366هـ/1976</w:t>
      </w:r>
      <w:r w:rsidRPr="00831274">
        <w:rPr>
          <w:rFonts w:eastAsia="Times New Roman" w:hint="cs"/>
          <w:b/>
          <w:bCs/>
          <w:sz w:val="22"/>
          <w:szCs w:val="22"/>
          <w:rtl/>
          <w:lang w:eastAsia="zh-CN"/>
        </w:rPr>
        <w:t>م</w:t>
      </w:r>
    </w:p>
    <w:p w:rsidR="00EC4FD0" w:rsidRDefault="00EC4FD0" w:rsidP="00EC4FD0">
      <w:pPr>
        <w:pStyle w:val="references"/>
        <w:numPr>
          <w:ilvl w:val="0"/>
          <w:numId w:val="6"/>
        </w:numPr>
        <w:bidi/>
        <w:rPr>
          <w:rFonts w:eastAsia="Times New Roman"/>
          <w:b/>
          <w:bCs/>
          <w:sz w:val="22"/>
          <w:szCs w:val="22"/>
          <w:lang w:eastAsia="zh-CN"/>
        </w:rPr>
      </w:pPr>
      <w:r w:rsidRPr="00831274">
        <w:rPr>
          <w:rFonts w:eastAsia="Times New Roman" w:hint="cs"/>
          <w:b/>
          <w:bCs/>
          <w:sz w:val="22"/>
          <w:szCs w:val="22"/>
          <w:rtl/>
          <w:lang w:eastAsia="zh-CN"/>
        </w:rPr>
        <w:t>البحث اللغوي عند العرب، مع دراسة لقضية التأثير والتأثر، أحمد مختار عمر، عالم الكتب، ط</w:t>
      </w:r>
      <w:r w:rsidRPr="00831274">
        <w:rPr>
          <w:rFonts w:eastAsia="Times New Roman" w:hint="cs"/>
          <w:b/>
          <w:bCs/>
          <w:sz w:val="22"/>
          <w:szCs w:val="22"/>
          <w:rtl/>
          <w:cs/>
          <w:lang w:eastAsia="zh-CN"/>
        </w:rPr>
        <w:t>4، 1408 هـ/1982</w:t>
      </w:r>
      <w:r w:rsidRPr="00831274">
        <w:rPr>
          <w:rFonts w:eastAsia="Times New Roman" w:hint="cs"/>
          <w:b/>
          <w:bCs/>
          <w:sz w:val="22"/>
          <w:szCs w:val="22"/>
          <w:rtl/>
          <w:lang w:eastAsia="zh-CN"/>
        </w:rPr>
        <w:t>م</w:t>
      </w:r>
    </w:p>
    <w:p w:rsidR="00EC4FD0" w:rsidRPr="005B2570" w:rsidRDefault="00EC4FD0" w:rsidP="00EC4FD0">
      <w:pPr>
        <w:pStyle w:val="ListParagraph"/>
        <w:numPr>
          <w:ilvl w:val="0"/>
          <w:numId w:val="6"/>
        </w:numPr>
        <w:spacing w:line="360" w:lineRule="auto"/>
        <w:jc w:val="lowKashida"/>
        <w:rPr>
          <w:b/>
          <w:bCs/>
          <w:sz w:val="22"/>
          <w:szCs w:val="22"/>
          <w:lang w:eastAsia="zh-CN"/>
        </w:rPr>
      </w:pPr>
      <w:r w:rsidRPr="005B2570">
        <w:rPr>
          <w:rFonts w:hint="cs"/>
          <w:b/>
          <w:bCs/>
          <w:sz w:val="22"/>
          <w:szCs w:val="22"/>
          <w:rtl/>
          <w:lang w:eastAsia="zh-CN"/>
        </w:rPr>
        <w:t>العمدة في محاسن الشعر وآدابه ونقده، أبو الحسن بن رشيق القيرواني، تحقيق: محمد محي الدين عبد الحميد، دار الجيل، بيروت، ط4، 1972م.</w:t>
      </w:r>
    </w:p>
    <w:p w:rsidR="00EC4FD0" w:rsidRPr="005B2570" w:rsidRDefault="00EC4FD0" w:rsidP="00EC4FD0">
      <w:pPr>
        <w:pStyle w:val="ListParagraph"/>
        <w:numPr>
          <w:ilvl w:val="0"/>
          <w:numId w:val="6"/>
        </w:numPr>
        <w:spacing w:line="360" w:lineRule="auto"/>
        <w:jc w:val="lowKashida"/>
        <w:rPr>
          <w:b/>
          <w:bCs/>
          <w:sz w:val="22"/>
          <w:szCs w:val="22"/>
          <w:lang w:eastAsia="zh-CN"/>
        </w:rPr>
      </w:pPr>
      <w:r w:rsidRPr="00831274">
        <w:rPr>
          <w:rFonts w:hint="cs"/>
          <w:b/>
          <w:bCs/>
          <w:sz w:val="22"/>
          <w:szCs w:val="22"/>
          <w:rtl/>
          <w:lang w:eastAsia="zh-CN"/>
        </w:rPr>
        <w:t>المعجم العربي، نشأته وتطوره، حسين نصار، مكتبة مصر، ط4، 1408هـ/ 1988م.</w:t>
      </w:r>
    </w:p>
    <w:p w:rsidR="00EC4FD0" w:rsidRPr="00C56FA5" w:rsidRDefault="00EC4FD0" w:rsidP="00EC4FD0">
      <w:pPr>
        <w:spacing w:line="360" w:lineRule="auto"/>
        <w:jc w:val="both"/>
        <w:rPr>
          <w:b/>
          <w:bCs/>
          <w:sz w:val="22"/>
          <w:szCs w:val="22"/>
          <w:rtl/>
          <w:lang w:eastAsia="zh-CN"/>
        </w:rPr>
      </w:pPr>
    </w:p>
    <w:p w:rsidR="00EC4FD0" w:rsidRPr="002D3D60" w:rsidRDefault="00EC4FD0" w:rsidP="00EC4FD0">
      <w:pPr>
        <w:spacing w:before="60" w:after="60" w:line="360" w:lineRule="auto"/>
        <w:ind w:firstLine="720"/>
        <w:jc w:val="both"/>
        <w:rPr>
          <w:b/>
          <w:bCs/>
          <w:sz w:val="22"/>
          <w:szCs w:val="22"/>
          <w:rtl/>
          <w:lang w:eastAsia="zh-CN"/>
        </w:rPr>
      </w:pPr>
    </w:p>
    <w:p w:rsidR="00EC4FD0" w:rsidRPr="00D138FB" w:rsidRDefault="00EC4FD0" w:rsidP="002D3D60">
      <w:pPr>
        <w:spacing w:line="360" w:lineRule="auto"/>
        <w:ind w:firstLine="720"/>
        <w:jc w:val="both"/>
        <w:rPr>
          <w:rFonts w:cs="Simplified Arabic"/>
          <w:sz w:val="28"/>
          <w:szCs w:val="28"/>
          <w:rtl/>
        </w:rPr>
      </w:pPr>
    </w:p>
    <w:p w:rsidR="002D3D60" w:rsidRPr="00D138FB" w:rsidRDefault="002D3D60" w:rsidP="002D3D60">
      <w:pPr>
        <w:spacing w:line="360" w:lineRule="auto"/>
        <w:ind w:firstLine="720"/>
        <w:jc w:val="both"/>
        <w:rPr>
          <w:rFonts w:cs="Simplified Arabic"/>
          <w:sz w:val="28"/>
          <w:szCs w:val="28"/>
          <w:rtl/>
        </w:rPr>
      </w:pPr>
    </w:p>
    <w:p w:rsidR="002D3D60" w:rsidRPr="00D138FB" w:rsidRDefault="002D3D60" w:rsidP="002D3D60">
      <w:pPr>
        <w:spacing w:line="360" w:lineRule="auto"/>
        <w:ind w:firstLine="720"/>
        <w:jc w:val="both"/>
        <w:rPr>
          <w:rFonts w:cs="Simplified Arabic"/>
          <w:sz w:val="28"/>
          <w:szCs w:val="28"/>
          <w:rtl/>
        </w:rPr>
      </w:pPr>
    </w:p>
    <w:p w:rsidR="002D3D60" w:rsidRPr="00D138FB" w:rsidRDefault="002D3D60" w:rsidP="002D3D60">
      <w:pPr>
        <w:spacing w:line="360" w:lineRule="auto"/>
        <w:ind w:firstLine="720"/>
        <w:jc w:val="both"/>
        <w:rPr>
          <w:rFonts w:cs="Simplified Arabic"/>
          <w:sz w:val="28"/>
          <w:szCs w:val="28"/>
          <w:rtl/>
        </w:rPr>
      </w:pPr>
    </w:p>
    <w:p w:rsidR="002D3D60" w:rsidRPr="00D138FB" w:rsidRDefault="002D3D60" w:rsidP="002D3D60">
      <w:pPr>
        <w:spacing w:line="360" w:lineRule="auto"/>
        <w:ind w:firstLine="720"/>
        <w:jc w:val="both"/>
        <w:rPr>
          <w:rFonts w:cs="Simplified Arabic"/>
          <w:sz w:val="28"/>
          <w:szCs w:val="28"/>
          <w:rtl/>
        </w:rPr>
      </w:pPr>
    </w:p>
    <w:p w:rsidR="005C61A2" w:rsidRPr="00913B02" w:rsidRDefault="005C61A2" w:rsidP="00913B02">
      <w:pPr>
        <w:spacing w:line="360" w:lineRule="auto"/>
        <w:jc w:val="both"/>
        <w:rPr>
          <w:rFonts w:cs="Simplified Arabic"/>
          <w:b/>
          <w:bCs/>
          <w:sz w:val="28"/>
          <w:szCs w:val="28"/>
        </w:rPr>
      </w:pPr>
    </w:p>
    <w:sectPr w:rsidR="005C61A2" w:rsidRPr="00913B02" w:rsidSect="00623CEB">
      <w:type w:val="continuous"/>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num="2"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75B" w:rsidRDefault="00F1575B" w:rsidP="004B3A23">
      <w:r>
        <w:separator/>
      </w:r>
    </w:p>
  </w:endnote>
  <w:endnote w:type="continuationSeparator" w:id="0">
    <w:p w:rsidR="00F1575B" w:rsidRDefault="00F1575B" w:rsidP="004B3A2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75B" w:rsidRDefault="00F1575B" w:rsidP="004B3A23">
      <w:r>
        <w:separator/>
      </w:r>
    </w:p>
  </w:footnote>
  <w:footnote w:type="continuationSeparator" w:id="0">
    <w:p w:rsidR="00F1575B" w:rsidRDefault="00F1575B" w:rsidP="004B3A23">
      <w:r>
        <w:continuationSeparator/>
      </w:r>
    </w:p>
  </w:footnote>
  <w:footnote w:id="1">
    <w:p w:rsidR="00C75C13" w:rsidRPr="002D3D60" w:rsidRDefault="00C75C13" w:rsidP="002D3D60">
      <w:pPr>
        <w:pStyle w:val="FootnoteText"/>
        <w:jc w:val="lowKashida"/>
        <w:rPr>
          <w:b/>
          <w:bCs/>
          <w:sz w:val="22"/>
          <w:szCs w:val="22"/>
          <w:rtl/>
          <w:lang w:eastAsia="zh-CN" w:bidi="ar-SA"/>
        </w:rPr>
      </w:pPr>
      <w:r w:rsidRPr="002D3D60">
        <w:rPr>
          <w:rFonts w:hint="cs"/>
          <w:b/>
          <w:bCs/>
          <w:sz w:val="22"/>
          <w:szCs w:val="22"/>
          <w:rtl/>
          <w:cs/>
          <w:lang w:eastAsia="zh-CN"/>
        </w:rPr>
        <w:t>(</w:t>
      </w:r>
      <w:r w:rsidRPr="002D3D60">
        <w:rPr>
          <w:b/>
          <w:bCs/>
          <w:sz w:val="22"/>
          <w:szCs w:val="22"/>
          <w:lang w:eastAsia="zh-CN" w:bidi="ar-SA"/>
        </w:rPr>
        <w:footnoteRef/>
      </w:r>
      <w:r w:rsidRPr="002D3D60">
        <w:rPr>
          <w:b/>
          <w:bCs/>
          <w:sz w:val="22"/>
          <w:szCs w:val="22"/>
          <w:lang w:eastAsia="zh-CN" w:bidi="ar-SA"/>
        </w:rPr>
        <w:t xml:space="preserve"> </w:t>
      </w:r>
      <w:r w:rsidRPr="002D3D60">
        <w:rPr>
          <w:rFonts w:hint="cs"/>
          <w:b/>
          <w:bCs/>
          <w:sz w:val="22"/>
          <w:szCs w:val="22"/>
          <w:rtl/>
          <w:cs/>
          <w:lang w:eastAsia="zh-CN"/>
        </w:rPr>
        <w:t xml:space="preserve">) </w:t>
      </w:r>
      <w:r w:rsidRPr="002D3D60">
        <w:rPr>
          <w:rFonts w:hint="cs"/>
          <w:b/>
          <w:bCs/>
          <w:sz w:val="22"/>
          <w:szCs w:val="22"/>
          <w:rtl/>
          <w:cs/>
          <w:lang w:eastAsia="zh-CN" w:bidi="ar-SA"/>
        </w:rPr>
        <w:t>انظر</w:t>
      </w:r>
      <w:r w:rsidRPr="002D3D60">
        <w:rPr>
          <w:rFonts w:hint="cs"/>
          <w:b/>
          <w:bCs/>
          <w:sz w:val="22"/>
          <w:szCs w:val="22"/>
          <w:rtl/>
          <w:lang w:eastAsia="zh-CN" w:bidi="ar-SA"/>
        </w:rPr>
        <w:t xml:space="preserve">: المعجم اللغوي العربي، مادة ومنهجا وتاريخا، عبد المنعم النجار، 132. </w:t>
      </w:r>
    </w:p>
  </w:footnote>
  <w:footnote w:id="2">
    <w:p w:rsidR="00C75C13" w:rsidRPr="002D3D60" w:rsidRDefault="00C75C13" w:rsidP="002D3D60">
      <w:pPr>
        <w:pStyle w:val="FootnoteText"/>
        <w:jc w:val="lowKashida"/>
        <w:rPr>
          <w:b/>
          <w:bCs/>
          <w:sz w:val="22"/>
          <w:szCs w:val="22"/>
          <w:rtl/>
          <w:cs/>
          <w:lang w:eastAsia="zh-CN"/>
        </w:rPr>
      </w:pPr>
      <w:r w:rsidRPr="002D3D60">
        <w:rPr>
          <w:rFonts w:hint="cs"/>
          <w:b/>
          <w:bCs/>
          <w:sz w:val="22"/>
          <w:szCs w:val="22"/>
          <w:rtl/>
          <w:cs/>
          <w:lang w:eastAsia="zh-CN"/>
        </w:rPr>
        <w:t>(</w:t>
      </w:r>
      <w:r w:rsidRPr="002D3D60">
        <w:rPr>
          <w:b/>
          <w:bCs/>
          <w:sz w:val="22"/>
          <w:szCs w:val="22"/>
          <w:lang w:eastAsia="zh-CN" w:bidi="ar-SA"/>
        </w:rPr>
        <w:footnoteRef/>
      </w:r>
      <w:r w:rsidRPr="002D3D60">
        <w:rPr>
          <w:b/>
          <w:bCs/>
          <w:sz w:val="22"/>
          <w:szCs w:val="22"/>
          <w:lang w:eastAsia="zh-CN" w:bidi="ar-SA"/>
        </w:rPr>
        <w:t xml:space="preserve"> </w:t>
      </w:r>
      <w:r w:rsidRPr="002D3D60">
        <w:rPr>
          <w:rFonts w:hint="cs"/>
          <w:b/>
          <w:bCs/>
          <w:sz w:val="22"/>
          <w:szCs w:val="22"/>
          <w:rtl/>
          <w:cs/>
          <w:lang w:eastAsia="zh-CN"/>
        </w:rPr>
        <w:t xml:space="preserve">) </w:t>
      </w:r>
      <w:r w:rsidRPr="002D3D60">
        <w:rPr>
          <w:rFonts w:hint="cs"/>
          <w:b/>
          <w:bCs/>
          <w:sz w:val="22"/>
          <w:szCs w:val="22"/>
          <w:rtl/>
          <w:lang w:eastAsia="zh-CN" w:bidi="ar-SA"/>
        </w:rPr>
        <w:t>انظر: الاحتجاج بالشعر في اللغة،112</w:t>
      </w:r>
      <w:r w:rsidRPr="002D3D60">
        <w:rPr>
          <w:rFonts w:hint="cs"/>
          <w:b/>
          <w:bCs/>
          <w:sz w:val="22"/>
          <w:szCs w:val="22"/>
          <w:rtl/>
          <w:cs/>
          <w:lang w:eastAsia="zh-CN"/>
        </w:rPr>
        <w:t>.</w:t>
      </w:r>
    </w:p>
    <w:p w:rsidR="00C75C13" w:rsidRPr="002D3D60" w:rsidRDefault="00C75C13" w:rsidP="00913B02">
      <w:pPr>
        <w:pStyle w:val="FootnoteText"/>
        <w:jc w:val="lowKashida"/>
        <w:rPr>
          <w:b/>
          <w:bCs/>
          <w:sz w:val="22"/>
          <w:szCs w:val="22"/>
          <w:rtl/>
          <w:cs/>
          <w:lang w:eastAsia="zh-CN"/>
        </w:rPr>
      </w:pPr>
      <w:r w:rsidRPr="002D3D60">
        <w:rPr>
          <w:rFonts w:hint="cs"/>
          <w:b/>
          <w:bCs/>
          <w:sz w:val="22"/>
          <w:szCs w:val="22"/>
          <w:rtl/>
          <w:lang w:eastAsia="zh-CN" w:bidi="ar-SA"/>
        </w:rPr>
        <w:t>(</w:t>
      </w:r>
      <w:r w:rsidR="00913B02">
        <w:rPr>
          <w:rFonts w:hint="cs"/>
          <w:b/>
          <w:bCs/>
          <w:sz w:val="22"/>
          <w:szCs w:val="22"/>
          <w:rtl/>
          <w:lang w:eastAsia="zh-CN" w:bidi="ar-SA"/>
        </w:rPr>
        <w:t>3</w:t>
      </w:r>
      <w:r w:rsidRPr="002D3D60">
        <w:rPr>
          <w:rFonts w:hint="cs"/>
          <w:b/>
          <w:bCs/>
          <w:sz w:val="22"/>
          <w:szCs w:val="22"/>
          <w:rtl/>
          <w:cs/>
          <w:lang w:eastAsia="zh-CN"/>
        </w:rPr>
        <w:t xml:space="preserve">) </w:t>
      </w:r>
      <w:r w:rsidRPr="002D3D60">
        <w:rPr>
          <w:rFonts w:hint="cs"/>
          <w:b/>
          <w:bCs/>
          <w:sz w:val="22"/>
          <w:szCs w:val="22"/>
          <w:rtl/>
          <w:lang w:eastAsia="zh-CN" w:bidi="ar-SA"/>
        </w:rPr>
        <w:t>انظر: السابق، 112.</w:t>
      </w:r>
    </w:p>
  </w:footnote>
  <w:footnote w:id="3">
    <w:p w:rsidR="00C75C13" w:rsidRPr="002D3D60" w:rsidRDefault="00C75C13" w:rsidP="00913B02">
      <w:pPr>
        <w:pStyle w:val="FootnoteText"/>
        <w:jc w:val="lowKashida"/>
        <w:rPr>
          <w:b/>
          <w:bCs/>
          <w:sz w:val="22"/>
          <w:szCs w:val="22"/>
          <w:rtl/>
          <w:lang w:eastAsia="zh-CN" w:bidi="ar-SA"/>
        </w:rPr>
      </w:pPr>
      <w:r w:rsidRPr="002D3D60">
        <w:rPr>
          <w:rFonts w:hint="cs"/>
          <w:b/>
          <w:bCs/>
          <w:sz w:val="22"/>
          <w:szCs w:val="22"/>
          <w:rtl/>
          <w:lang w:eastAsia="zh-CN" w:bidi="ar-SA"/>
        </w:rPr>
        <w:t>(</w:t>
      </w:r>
      <w:r w:rsidR="00913B02">
        <w:rPr>
          <w:rFonts w:hint="cs"/>
          <w:b/>
          <w:bCs/>
          <w:sz w:val="22"/>
          <w:szCs w:val="22"/>
          <w:rtl/>
          <w:lang w:eastAsia="zh-CN" w:bidi="ar-SA"/>
        </w:rPr>
        <w:t>4</w:t>
      </w:r>
      <w:r w:rsidRPr="002D3D60">
        <w:rPr>
          <w:rFonts w:hint="cs"/>
          <w:b/>
          <w:bCs/>
          <w:sz w:val="22"/>
          <w:szCs w:val="22"/>
          <w:rtl/>
          <w:cs/>
          <w:lang w:eastAsia="zh-CN"/>
        </w:rPr>
        <w:t xml:space="preserve">) </w:t>
      </w:r>
      <w:r w:rsidRPr="002D3D60">
        <w:rPr>
          <w:rFonts w:hint="cs"/>
          <w:b/>
          <w:bCs/>
          <w:sz w:val="22"/>
          <w:szCs w:val="22"/>
          <w:rtl/>
          <w:lang w:eastAsia="zh-CN" w:bidi="ar-SA"/>
        </w:rPr>
        <w:t>انظر: السابق، 202.</w:t>
      </w:r>
    </w:p>
  </w:footnote>
  <w:footnote w:id="4">
    <w:p w:rsidR="00C75C13" w:rsidRPr="002D3D60" w:rsidRDefault="00C75C13" w:rsidP="00913B02">
      <w:pPr>
        <w:pStyle w:val="FootnoteText"/>
        <w:jc w:val="lowKashida"/>
        <w:rPr>
          <w:b/>
          <w:bCs/>
          <w:sz w:val="22"/>
          <w:szCs w:val="22"/>
          <w:rtl/>
          <w:lang w:eastAsia="zh-CN" w:bidi="ar-SA"/>
        </w:rPr>
      </w:pPr>
      <w:r w:rsidRPr="002D3D60">
        <w:rPr>
          <w:rFonts w:hint="cs"/>
          <w:b/>
          <w:bCs/>
          <w:sz w:val="22"/>
          <w:szCs w:val="22"/>
          <w:rtl/>
          <w:cs/>
          <w:lang w:eastAsia="zh-CN"/>
        </w:rPr>
        <w:t>(</w:t>
      </w:r>
      <w:r w:rsidR="00913B02">
        <w:rPr>
          <w:rFonts w:hint="cs"/>
          <w:b/>
          <w:bCs/>
          <w:sz w:val="22"/>
          <w:szCs w:val="22"/>
          <w:rtl/>
          <w:lang w:eastAsia="zh-CN" w:bidi="ar-SA"/>
        </w:rPr>
        <w:t>5</w:t>
      </w:r>
      <w:r w:rsidRPr="002D3D60">
        <w:rPr>
          <w:b/>
          <w:bCs/>
          <w:sz w:val="22"/>
          <w:szCs w:val="22"/>
          <w:lang w:eastAsia="zh-CN" w:bidi="ar-SA"/>
        </w:rPr>
        <w:t xml:space="preserve"> </w:t>
      </w:r>
      <w:r w:rsidRPr="002D3D60">
        <w:rPr>
          <w:rFonts w:hint="cs"/>
          <w:b/>
          <w:bCs/>
          <w:sz w:val="22"/>
          <w:szCs w:val="22"/>
          <w:rtl/>
          <w:cs/>
          <w:lang w:eastAsia="zh-CN"/>
        </w:rPr>
        <w:t xml:space="preserve">) </w:t>
      </w:r>
      <w:r w:rsidRPr="002D3D60">
        <w:rPr>
          <w:rFonts w:hint="cs"/>
          <w:b/>
          <w:bCs/>
          <w:sz w:val="22"/>
          <w:szCs w:val="22"/>
          <w:rtl/>
          <w:lang w:eastAsia="zh-CN" w:bidi="ar-SA"/>
        </w:rPr>
        <w:t>انظر: الاحتجاج بالشعر في اللغة، 146، 203</w:t>
      </w:r>
      <w:r w:rsidRPr="002D3D60">
        <w:rPr>
          <w:rFonts w:hint="cs"/>
          <w:b/>
          <w:bCs/>
          <w:sz w:val="22"/>
          <w:szCs w:val="22"/>
          <w:rtl/>
          <w:cs/>
          <w:lang w:eastAsia="zh-CN"/>
        </w:rPr>
        <w:t>.</w:t>
      </w:r>
    </w:p>
  </w:footnote>
  <w:footnote w:id="5">
    <w:p w:rsidR="00C75C13" w:rsidRPr="002D3D60" w:rsidRDefault="00C75C13" w:rsidP="002D3D60">
      <w:pPr>
        <w:pStyle w:val="FootnoteText"/>
        <w:jc w:val="lowKashida"/>
        <w:rPr>
          <w:b/>
          <w:bCs/>
          <w:sz w:val="22"/>
          <w:szCs w:val="22"/>
          <w:rtl/>
          <w:lang w:eastAsia="zh-CN" w:bidi="ar-SA"/>
        </w:rPr>
      </w:pPr>
    </w:p>
  </w:footnote>
  <w:footnote w:id="6">
    <w:p w:rsidR="00C75C13" w:rsidRPr="002D3D60" w:rsidRDefault="00C75C13" w:rsidP="002D3D60">
      <w:pPr>
        <w:pStyle w:val="FootnoteText"/>
        <w:jc w:val="lowKashida"/>
        <w:rPr>
          <w:b/>
          <w:bCs/>
          <w:sz w:val="22"/>
          <w:szCs w:val="22"/>
          <w:rtl/>
          <w:lang w:eastAsia="zh-CN" w:bidi="ar-SA"/>
        </w:rPr>
      </w:pPr>
      <w:r w:rsidRPr="002D3D60">
        <w:rPr>
          <w:rFonts w:hint="cs"/>
          <w:b/>
          <w:bCs/>
          <w:sz w:val="22"/>
          <w:szCs w:val="22"/>
          <w:rtl/>
          <w:cs/>
          <w:lang w:eastAsia="zh-CN"/>
        </w:rPr>
        <w:t>(</w:t>
      </w:r>
      <w:r w:rsidRPr="002D3D60">
        <w:rPr>
          <w:b/>
          <w:bCs/>
          <w:sz w:val="22"/>
          <w:szCs w:val="22"/>
          <w:lang w:eastAsia="zh-CN" w:bidi="ar-SA"/>
        </w:rPr>
        <w:footnoteRef/>
      </w:r>
      <w:r w:rsidRPr="002D3D60">
        <w:rPr>
          <w:b/>
          <w:bCs/>
          <w:sz w:val="22"/>
          <w:szCs w:val="22"/>
          <w:lang w:eastAsia="zh-CN" w:bidi="ar-SA"/>
        </w:rPr>
        <w:t xml:space="preserve"> </w:t>
      </w:r>
      <w:r w:rsidRPr="002D3D60">
        <w:rPr>
          <w:rFonts w:hint="cs"/>
          <w:b/>
          <w:bCs/>
          <w:sz w:val="22"/>
          <w:szCs w:val="22"/>
          <w:rtl/>
          <w:cs/>
          <w:lang w:eastAsia="zh-CN"/>
        </w:rPr>
        <w:t xml:space="preserve">) </w:t>
      </w:r>
      <w:r w:rsidRPr="002D3D60">
        <w:rPr>
          <w:rFonts w:hint="cs"/>
          <w:b/>
          <w:bCs/>
          <w:sz w:val="22"/>
          <w:szCs w:val="22"/>
          <w:rtl/>
          <w:lang w:eastAsia="zh-CN" w:bidi="ar-SA"/>
        </w:rPr>
        <w:t>انظر: السابق، 153.</w:t>
      </w:r>
    </w:p>
  </w:footnote>
  <w:footnote w:id="7">
    <w:p w:rsidR="00C75C13" w:rsidRPr="002D3D60" w:rsidRDefault="00C75C13" w:rsidP="002D3D60">
      <w:pPr>
        <w:pStyle w:val="FootnoteText"/>
        <w:jc w:val="lowKashida"/>
        <w:rPr>
          <w:b/>
          <w:bCs/>
          <w:sz w:val="22"/>
          <w:szCs w:val="22"/>
          <w:rtl/>
          <w:lang w:eastAsia="zh-CN" w:bidi="ar-SA"/>
        </w:rPr>
      </w:pPr>
      <w:r w:rsidRPr="002D3D60">
        <w:rPr>
          <w:rFonts w:hint="cs"/>
          <w:b/>
          <w:bCs/>
          <w:sz w:val="22"/>
          <w:szCs w:val="22"/>
          <w:rtl/>
          <w:cs/>
          <w:lang w:eastAsia="zh-CN"/>
        </w:rPr>
        <w:t>(</w:t>
      </w:r>
      <w:r w:rsidRPr="002D3D60">
        <w:rPr>
          <w:b/>
          <w:bCs/>
          <w:sz w:val="22"/>
          <w:szCs w:val="22"/>
          <w:lang w:eastAsia="zh-CN" w:bidi="ar-SA"/>
        </w:rPr>
        <w:footnoteRef/>
      </w:r>
      <w:r w:rsidRPr="002D3D60">
        <w:rPr>
          <w:b/>
          <w:bCs/>
          <w:sz w:val="22"/>
          <w:szCs w:val="22"/>
          <w:lang w:eastAsia="zh-CN" w:bidi="ar-SA"/>
        </w:rPr>
        <w:t xml:space="preserve"> </w:t>
      </w:r>
      <w:r w:rsidRPr="002D3D60">
        <w:rPr>
          <w:rFonts w:hint="cs"/>
          <w:b/>
          <w:bCs/>
          <w:sz w:val="22"/>
          <w:szCs w:val="22"/>
          <w:rtl/>
          <w:cs/>
          <w:lang w:eastAsia="zh-CN"/>
        </w:rPr>
        <w:t xml:space="preserve">) </w:t>
      </w:r>
      <w:r w:rsidRPr="002D3D60">
        <w:rPr>
          <w:rFonts w:hint="cs"/>
          <w:b/>
          <w:bCs/>
          <w:sz w:val="22"/>
          <w:szCs w:val="22"/>
          <w:rtl/>
          <w:lang w:eastAsia="zh-CN" w:bidi="ar-SA"/>
        </w:rPr>
        <w:t>انظر: السابق، 160، 206.</w:t>
      </w:r>
    </w:p>
  </w:footnote>
  <w:footnote w:id="8">
    <w:p w:rsidR="00C75C13" w:rsidRPr="002D3D60" w:rsidRDefault="00C75C13" w:rsidP="002D3D60">
      <w:pPr>
        <w:pStyle w:val="FootnoteText"/>
        <w:jc w:val="lowKashida"/>
        <w:rPr>
          <w:b/>
          <w:bCs/>
          <w:sz w:val="22"/>
          <w:szCs w:val="22"/>
          <w:rtl/>
          <w:lang w:eastAsia="zh-CN" w:bidi="ar-SA"/>
        </w:rPr>
      </w:pPr>
      <w:r w:rsidRPr="002D3D60">
        <w:rPr>
          <w:rFonts w:hint="cs"/>
          <w:b/>
          <w:bCs/>
          <w:sz w:val="22"/>
          <w:szCs w:val="22"/>
          <w:rtl/>
          <w:cs/>
          <w:lang w:eastAsia="zh-CN"/>
        </w:rPr>
        <w:t>(</w:t>
      </w:r>
      <w:r w:rsidRPr="002D3D60">
        <w:rPr>
          <w:b/>
          <w:bCs/>
          <w:sz w:val="22"/>
          <w:szCs w:val="22"/>
          <w:lang w:eastAsia="zh-CN" w:bidi="ar-SA"/>
        </w:rPr>
        <w:footnoteRef/>
      </w:r>
      <w:r w:rsidRPr="002D3D60">
        <w:rPr>
          <w:b/>
          <w:bCs/>
          <w:sz w:val="22"/>
          <w:szCs w:val="22"/>
          <w:lang w:eastAsia="zh-CN" w:bidi="ar-SA"/>
        </w:rPr>
        <w:t xml:space="preserve"> </w:t>
      </w:r>
      <w:r w:rsidRPr="002D3D60">
        <w:rPr>
          <w:rFonts w:hint="cs"/>
          <w:b/>
          <w:bCs/>
          <w:sz w:val="22"/>
          <w:szCs w:val="22"/>
          <w:rtl/>
          <w:cs/>
          <w:lang w:eastAsia="zh-CN"/>
        </w:rPr>
        <w:t xml:space="preserve">) </w:t>
      </w:r>
      <w:r w:rsidRPr="002D3D60">
        <w:rPr>
          <w:rFonts w:hint="cs"/>
          <w:b/>
          <w:bCs/>
          <w:sz w:val="22"/>
          <w:szCs w:val="22"/>
          <w:rtl/>
          <w:lang w:eastAsia="zh-CN" w:bidi="ar-SA"/>
        </w:rPr>
        <w:t>انظر: السابق، 178، 206.</w:t>
      </w:r>
    </w:p>
  </w:footnote>
  <w:footnote w:id="9">
    <w:p w:rsidR="00C75C13" w:rsidRPr="002D3D60" w:rsidRDefault="00C75C13" w:rsidP="002D3D60">
      <w:pPr>
        <w:pStyle w:val="FootnoteText"/>
        <w:jc w:val="lowKashida"/>
        <w:rPr>
          <w:b/>
          <w:bCs/>
          <w:sz w:val="22"/>
          <w:szCs w:val="22"/>
          <w:rtl/>
          <w:lang w:eastAsia="zh-CN" w:bidi="ar-SA"/>
        </w:rPr>
      </w:pPr>
      <w:r w:rsidRPr="002D3D60">
        <w:rPr>
          <w:rFonts w:hint="cs"/>
          <w:b/>
          <w:bCs/>
          <w:sz w:val="22"/>
          <w:szCs w:val="22"/>
          <w:rtl/>
          <w:cs/>
          <w:lang w:eastAsia="zh-CN"/>
        </w:rPr>
        <w:t>(</w:t>
      </w:r>
      <w:r w:rsidRPr="002D3D60">
        <w:rPr>
          <w:b/>
          <w:bCs/>
          <w:sz w:val="22"/>
          <w:szCs w:val="22"/>
          <w:lang w:eastAsia="zh-CN" w:bidi="ar-SA"/>
        </w:rPr>
        <w:footnoteRef/>
      </w:r>
      <w:r w:rsidRPr="002D3D60">
        <w:rPr>
          <w:b/>
          <w:bCs/>
          <w:sz w:val="22"/>
          <w:szCs w:val="22"/>
          <w:lang w:eastAsia="zh-CN" w:bidi="ar-SA"/>
        </w:rPr>
        <w:t xml:space="preserve"> </w:t>
      </w:r>
      <w:r w:rsidRPr="002D3D60">
        <w:rPr>
          <w:rFonts w:hint="cs"/>
          <w:b/>
          <w:bCs/>
          <w:sz w:val="22"/>
          <w:szCs w:val="22"/>
          <w:rtl/>
          <w:cs/>
          <w:lang w:eastAsia="zh-CN"/>
        </w:rPr>
        <w:t xml:space="preserve">) </w:t>
      </w:r>
      <w:r w:rsidRPr="002D3D60">
        <w:rPr>
          <w:rFonts w:hint="cs"/>
          <w:b/>
          <w:bCs/>
          <w:sz w:val="22"/>
          <w:szCs w:val="22"/>
          <w:rtl/>
          <w:lang w:eastAsia="zh-CN" w:bidi="ar-SA"/>
        </w:rPr>
        <w:t>انظر: السابق، 206.</w:t>
      </w:r>
    </w:p>
    <w:p w:rsidR="00C75C13" w:rsidRPr="002D3D60" w:rsidRDefault="00C75C13" w:rsidP="002D3D60">
      <w:pPr>
        <w:pStyle w:val="FootnoteText"/>
        <w:jc w:val="lowKashida"/>
        <w:rPr>
          <w:b/>
          <w:bCs/>
          <w:sz w:val="22"/>
          <w:szCs w:val="22"/>
          <w:rtl/>
          <w:cs/>
          <w:lang w:eastAsia="zh-C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37F6E"/>
    <w:multiLevelType w:val="hybridMultilevel"/>
    <w:tmpl w:val="1D966110"/>
    <w:lvl w:ilvl="0" w:tplc="17A0B928">
      <w:start w:val="1"/>
      <w:numFmt w:val="bullet"/>
      <w:lvlText w:val=""/>
      <w:lvlJc w:val="left"/>
      <w:pPr>
        <w:tabs>
          <w:tab w:val="num" w:pos="720"/>
        </w:tabs>
        <w:ind w:left="720" w:right="720" w:hanging="360"/>
      </w:pPr>
      <w:rPr>
        <w:rFonts w:ascii="Wingdings" w:hAnsi="Wingdings" w:hint="default"/>
        <w:lang w:bidi="ar-SA"/>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1D951A2C"/>
    <w:multiLevelType w:val="hybridMultilevel"/>
    <w:tmpl w:val="527A9654"/>
    <w:lvl w:ilvl="0" w:tplc="E0768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2C79A7"/>
    <w:multiLevelType w:val="hybridMultilevel"/>
    <w:tmpl w:val="B494FDFC"/>
    <w:lvl w:ilvl="0" w:tplc="8C9A6720">
      <w:start w:val="1"/>
      <w:numFmt w:val="upperRoman"/>
      <w:lvlText w:val="%1."/>
      <w:lvlJc w:val="left"/>
      <w:pPr>
        <w:ind w:left="2745" w:hanging="72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nsid w:val="23523C57"/>
    <w:multiLevelType w:val="hybridMultilevel"/>
    <w:tmpl w:val="74A457FC"/>
    <w:lvl w:ilvl="0" w:tplc="B75CB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131126"/>
    <w:multiLevelType w:val="hybridMultilevel"/>
    <w:tmpl w:val="575E12E0"/>
    <w:lvl w:ilvl="0" w:tplc="71924EF2">
      <w:numFmt w:val="bullet"/>
      <w:lvlText w:val=""/>
      <w:lvlJc w:val="left"/>
      <w:pPr>
        <w:tabs>
          <w:tab w:val="num" w:pos="360"/>
        </w:tabs>
        <w:ind w:left="360" w:right="720" w:hanging="360"/>
      </w:pPr>
      <w:rPr>
        <w:rFonts w:ascii="Symbol" w:eastAsia="Times New Roman" w:hAnsi="Symbol" w:cs="Traditional Arabic" w:hint="default"/>
        <w:lang w:bidi="ar-SA"/>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58F2753D"/>
    <w:multiLevelType w:val="hybridMultilevel"/>
    <w:tmpl w:val="A2807B14"/>
    <w:lvl w:ilvl="0" w:tplc="B4803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953787"/>
    <w:multiLevelType w:val="hybridMultilevel"/>
    <w:tmpl w:val="D5A23D5C"/>
    <w:lvl w:ilvl="0" w:tplc="6BD4239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78372136"/>
    <w:multiLevelType w:val="multilevel"/>
    <w:tmpl w:val="750CAF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2"/>
  </w:num>
  <w:num w:numId="3">
    <w:abstractNumId w:val="1"/>
  </w:num>
  <w:num w:numId="4">
    <w:abstractNumId w:val="5"/>
  </w:num>
  <w:num w:numId="5">
    <w:abstractNumId w:val="3"/>
  </w:num>
  <w:num w:numId="6">
    <w:abstractNumId w:val="7"/>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B3A23"/>
    <w:rsid w:val="000B2D00"/>
    <w:rsid w:val="000F2ECD"/>
    <w:rsid w:val="00142A89"/>
    <w:rsid w:val="001D2450"/>
    <w:rsid w:val="00242A76"/>
    <w:rsid w:val="00246F4F"/>
    <w:rsid w:val="002619F0"/>
    <w:rsid w:val="002A4685"/>
    <w:rsid w:val="002D3D60"/>
    <w:rsid w:val="002F2CA9"/>
    <w:rsid w:val="0036688B"/>
    <w:rsid w:val="00373995"/>
    <w:rsid w:val="0044575B"/>
    <w:rsid w:val="004B3A23"/>
    <w:rsid w:val="005343E2"/>
    <w:rsid w:val="005405C8"/>
    <w:rsid w:val="005B6895"/>
    <w:rsid w:val="005C4EA9"/>
    <w:rsid w:val="005C61A2"/>
    <w:rsid w:val="005E08DC"/>
    <w:rsid w:val="005F68C1"/>
    <w:rsid w:val="00623CEB"/>
    <w:rsid w:val="00775641"/>
    <w:rsid w:val="007B7509"/>
    <w:rsid w:val="007E69A9"/>
    <w:rsid w:val="00852ED3"/>
    <w:rsid w:val="00913B02"/>
    <w:rsid w:val="00943103"/>
    <w:rsid w:val="00943D74"/>
    <w:rsid w:val="00972672"/>
    <w:rsid w:val="00A8539B"/>
    <w:rsid w:val="00A965E9"/>
    <w:rsid w:val="00AB3A88"/>
    <w:rsid w:val="00C00A15"/>
    <w:rsid w:val="00C75C13"/>
    <w:rsid w:val="00CB3ED1"/>
    <w:rsid w:val="00E33A6A"/>
    <w:rsid w:val="00E33E85"/>
    <w:rsid w:val="00EC4FD0"/>
    <w:rsid w:val="00ED26A1"/>
    <w:rsid w:val="00F157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A23"/>
    <w:pPr>
      <w:bidi/>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autoRedefine/>
    <w:qFormat/>
    <w:rsid w:val="00A965E9"/>
    <w:pPr>
      <w:keepNext/>
      <w:spacing w:line="360" w:lineRule="auto"/>
      <w:jc w:val="both"/>
      <w:outlineLvl w:val="1"/>
    </w:pPr>
    <w:rPr>
      <w:b/>
      <w:bCs/>
      <w:sz w:val="28"/>
      <w:szCs w:val="28"/>
      <w:u w:val="single"/>
      <w:lang w:eastAsia="zh-CN"/>
    </w:rPr>
  </w:style>
  <w:style w:type="paragraph" w:styleId="Heading3">
    <w:name w:val="heading 3"/>
    <w:basedOn w:val="Normal"/>
    <w:next w:val="Normal"/>
    <w:link w:val="Heading3Char"/>
    <w:qFormat/>
    <w:rsid w:val="002D3D60"/>
    <w:pPr>
      <w:keepNext/>
      <w:spacing w:before="240" w:after="60"/>
      <w:outlineLvl w:val="2"/>
    </w:pPr>
    <w:rPr>
      <w:rFonts w:ascii="Arial" w:hAnsi="Arial" w:cs="Arial"/>
      <w:b/>
      <w:bCs/>
      <w:sz w:val="26"/>
      <w:szCs w:val="2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B3A23"/>
    <w:rPr>
      <w:sz w:val="20"/>
      <w:szCs w:val="20"/>
      <w:lang w:bidi="hi-IN"/>
    </w:rPr>
  </w:style>
  <w:style w:type="character" w:customStyle="1" w:styleId="FootnoteTextChar">
    <w:name w:val="Footnote Text Char"/>
    <w:basedOn w:val="DefaultParagraphFont"/>
    <w:link w:val="FootnoteText"/>
    <w:semiHidden/>
    <w:rsid w:val="004B3A23"/>
    <w:rPr>
      <w:rFonts w:ascii="Times New Roman" w:eastAsia="Times New Roman" w:hAnsi="Times New Roman" w:cs="Times New Roman"/>
      <w:sz w:val="20"/>
      <w:szCs w:val="20"/>
      <w:lang w:bidi="hi-IN"/>
    </w:rPr>
  </w:style>
  <w:style w:type="character" w:styleId="FootnoteReference">
    <w:name w:val="footnote reference"/>
    <w:basedOn w:val="DefaultParagraphFont"/>
    <w:semiHidden/>
    <w:rsid w:val="004B3A23"/>
    <w:rPr>
      <w:vertAlign w:val="superscript"/>
    </w:rPr>
  </w:style>
  <w:style w:type="paragraph" w:customStyle="1" w:styleId="Affiliation">
    <w:name w:val="Affiliation"/>
    <w:rsid w:val="004B3A23"/>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4B3A23"/>
    <w:pPr>
      <w:suppressAutoHyphens/>
      <w:spacing w:before="360" w:after="40" w:line="240" w:lineRule="auto"/>
      <w:jc w:val="center"/>
    </w:pPr>
    <w:rPr>
      <w:rFonts w:ascii="Times New Roman" w:eastAsia="SimSun" w:hAnsi="Times New Roman" w:cs="Times New Roman"/>
    </w:rPr>
  </w:style>
  <w:style w:type="character" w:styleId="Hyperlink">
    <w:name w:val="Hyperlink"/>
    <w:basedOn w:val="DefaultParagraphFont"/>
    <w:uiPriority w:val="99"/>
    <w:unhideWhenUsed/>
    <w:rsid w:val="00623CEB"/>
    <w:rPr>
      <w:color w:val="0000FF" w:themeColor="hyperlink"/>
      <w:u w:val="single"/>
    </w:rPr>
  </w:style>
  <w:style w:type="paragraph" w:styleId="ListParagraph">
    <w:name w:val="List Paragraph"/>
    <w:basedOn w:val="Normal"/>
    <w:uiPriority w:val="34"/>
    <w:qFormat/>
    <w:rsid w:val="0036688B"/>
    <w:pPr>
      <w:ind w:left="720"/>
      <w:contextualSpacing/>
    </w:pPr>
  </w:style>
  <w:style w:type="paragraph" w:customStyle="1" w:styleId="references">
    <w:name w:val="references"/>
    <w:rsid w:val="00E33E85"/>
    <w:pPr>
      <w:suppressAutoHyphens/>
      <w:spacing w:after="50" w:line="180" w:lineRule="atLeast"/>
      <w:jc w:val="both"/>
    </w:pPr>
    <w:rPr>
      <w:rFonts w:ascii="Times New Roman" w:eastAsia="MS Mincho" w:hAnsi="Times New Roman" w:cs="Times New Roman"/>
      <w:sz w:val="18"/>
      <w:szCs w:val="16"/>
    </w:rPr>
  </w:style>
  <w:style w:type="character" w:customStyle="1" w:styleId="Heading2Char">
    <w:name w:val="Heading 2 Char"/>
    <w:basedOn w:val="DefaultParagraphFont"/>
    <w:link w:val="Heading2"/>
    <w:rsid w:val="00A965E9"/>
    <w:rPr>
      <w:rFonts w:ascii="Times New Roman" w:eastAsia="Times New Roman" w:hAnsi="Times New Roman" w:cs="Times New Roman"/>
      <w:b/>
      <w:bCs/>
      <w:sz w:val="28"/>
      <w:szCs w:val="28"/>
      <w:u w:val="single"/>
      <w:lang w:eastAsia="zh-CN"/>
    </w:rPr>
  </w:style>
  <w:style w:type="character" w:customStyle="1" w:styleId="Heading3Char">
    <w:name w:val="Heading 3 Char"/>
    <w:basedOn w:val="DefaultParagraphFont"/>
    <w:link w:val="Heading3"/>
    <w:rsid w:val="002D3D60"/>
    <w:rPr>
      <w:rFonts w:ascii="Arial" w:eastAsia="Times New Roman" w:hAnsi="Arial" w:cs="Arial"/>
      <w:b/>
      <w:bCs/>
      <w:sz w:val="26"/>
      <w:szCs w:val="26"/>
      <w:lang w:bidi="hi-IN"/>
    </w:rPr>
  </w:style>
  <w:style w:type="paragraph" w:styleId="BodyText">
    <w:name w:val="Body Text"/>
    <w:basedOn w:val="Normal"/>
    <w:link w:val="BodyTextChar"/>
    <w:rsid w:val="002D3D60"/>
    <w:pPr>
      <w:spacing w:after="120"/>
    </w:pPr>
    <w:rPr>
      <w:lang w:bidi="hi-IN"/>
    </w:rPr>
  </w:style>
  <w:style w:type="character" w:customStyle="1" w:styleId="BodyTextChar">
    <w:name w:val="Body Text Char"/>
    <w:basedOn w:val="DefaultParagraphFont"/>
    <w:link w:val="BodyText"/>
    <w:rsid w:val="002D3D60"/>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mel.anwer@medi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398762-9128-472E-85D6-1978EABEE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11</cp:revision>
  <dcterms:created xsi:type="dcterms:W3CDTF">2013-05-15T15:15:00Z</dcterms:created>
  <dcterms:modified xsi:type="dcterms:W3CDTF">2013-05-30T15:47:00Z</dcterms:modified>
</cp:coreProperties>
</file>