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C76F8D" w:rsidP="00C76F8D">
      <w:pPr>
        <w:jc w:val="center"/>
        <w:rPr>
          <w:rFonts w:asciiTheme="majorBidi" w:eastAsia="Calibri" w:hAnsiTheme="majorBidi" w:cstheme="majorBidi"/>
          <w:b/>
          <w:bCs/>
          <w:sz w:val="48"/>
          <w:szCs w:val="48"/>
          <w:rtl/>
        </w:rPr>
      </w:pPr>
      <w:r w:rsidRPr="00C76F8D">
        <w:rPr>
          <w:rFonts w:asciiTheme="majorBidi" w:eastAsia="Calibri" w:hAnsiTheme="majorBidi" w:cstheme="majorBidi"/>
          <w:b/>
          <w:bCs/>
          <w:sz w:val="48"/>
          <w:szCs w:val="48"/>
          <w:rtl/>
        </w:rPr>
        <w:t>أدلة المذهب الرابع، والمذهب المختار</w:t>
      </w:r>
    </w:p>
    <w:p w:rsidR="00C76F8D" w:rsidRPr="00426F7E" w:rsidRDefault="00C76F8D" w:rsidP="00C76F8D">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76F8D" w:rsidRPr="00426F7E" w:rsidRDefault="00C76F8D" w:rsidP="00B70619">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B70619" w:rsidRPr="00B70619">
        <w:rPr>
          <w:rFonts w:asciiTheme="majorBidi" w:hAnsiTheme="majorBidi" w:cstheme="majorBidi" w:hint="cs"/>
          <w:sz w:val="18"/>
          <w:szCs w:val="18"/>
          <w:rtl/>
          <w:lang w:bidi="ar-EG"/>
        </w:rPr>
        <w:t>منة</w:t>
      </w:r>
      <w:r w:rsidR="00B70619" w:rsidRPr="00B70619">
        <w:rPr>
          <w:rFonts w:asciiTheme="majorBidi" w:hAnsiTheme="majorBidi" w:cstheme="majorBidi"/>
          <w:sz w:val="18"/>
          <w:szCs w:val="18"/>
          <w:rtl/>
          <w:lang w:bidi="ar-EG"/>
        </w:rPr>
        <w:t xml:space="preserve"> </w:t>
      </w:r>
      <w:r w:rsidR="00B70619" w:rsidRPr="00B70619">
        <w:rPr>
          <w:rFonts w:asciiTheme="majorBidi" w:hAnsiTheme="majorBidi" w:cstheme="majorBidi" w:hint="cs"/>
          <w:sz w:val="18"/>
          <w:szCs w:val="18"/>
          <w:rtl/>
          <w:lang w:bidi="ar-EG"/>
        </w:rPr>
        <w:t>الله</w:t>
      </w:r>
      <w:r w:rsidR="00B70619" w:rsidRPr="00B70619">
        <w:rPr>
          <w:rFonts w:asciiTheme="majorBidi" w:hAnsiTheme="majorBidi" w:cstheme="majorBidi"/>
          <w:sz w:val="18"/>
          <w:szCs w:val="18"/>
          <w:rtl/>
          <w:lang w:bidi="ar-EG"/>
        </w:rPr>
        <w:t xml:space="preserve"> </w:t>
      </w:r>
      <w:proofErr w:type="spellStart"/>
      <w:r w:rsidR="00B70619" w:rsidRPr="00B70619">
        <w:rPr>
          <w:rFonts w:asciiTheme="majorBidi" w:hAnsiTheme="majorBidi" w:cstheme="majorBidi" w:hint="cs"/>
          <w:sz w:val="18"/>
          <w:szCs w:val="18"/>
          <w:rtl/>
          <w:lang w:bidi="ar-EG"/>
        </w:rPr>
        <w:t>مجدى</w:t>
      </w:r>
      <w:proofErr w:type="spellEnd"/>
      <w:r w:rsidR="00B70619" w:rsidRPr="00B70619">
        <w:rPr>
          <w:rFonts w:asciiTheme="majorBidi" w:hAnsiTheme="majorBidi" w:cstheme="majorBidi"/>
          <w:sz w:val="18"/>
          <w:szCs w:val="18"/>
          <w:rtl/>
          <w:lang w:bidi="ar-EG"/>
        </w:rPr>
        <w:t xml:space="preserve"> </w:t>
      </w:r>
      <w:r w:rsidR="00B70619" w:rsidRPr="00B70619">
        <w:rPr>
          <w:rFonts w:asciiTheme="majorBidi" w:hAnsiTheme="majorBidi" w:cstheme="majorBidi" w:hint="cs"/>
          <w:sz w:val="18"/>
          <w:szCs w:val="18"/>
          <w:rtl/>
          <w:lang w:bidi="ar-EG"/>
        </w:rPr>
        <w:t>محمد</w:t>
      </w:r>
    </w:p>
    <w:p w:rsidR="00C76F8D" w:rsidRPr="00426F7E" w:rsidRDefault="00C76F8D" w:rsidP="00C76F8D">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76F8D" w:rsidRPr="00426F7E" w:rsidRDefault="00C76F8D" w:rsidP="00C76F8D">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76F8D" w:rsidRPr="00426F7E" w:rsidRDefault="00C76F8D" w:rsidP="00C76F8D">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76F8D" w:rsidRDefault="00B70619" w:rsidP="00B70619">
      <w:pPr>
        <w:tabs>
          <w:tab w:val="left" w:pos="4050"/>
        </w:tabs>
        <w:spacing w:after="0"/>
        <w:jc w:val="center"/>
        <w:rPr>
          <w:rFonts w:asciiTheme="majorBidi" w:hAnsiTheme="majorBidi" w:cstheme="majorBidi"/>
          <w:b/>
          <w:bCs/>
          <w:sz w:val="18"/>
          <w:szCs w:val="18"/>
          <w:rtl/>
          <w:lang w:bidi="ar-EG"/>
        </w:rPr>
      </w:pPr>
      <w:r w:rsidRPr="00B70619">
        <w:rPr>
          <w:rFonts w:asciiTheme="majorBidi" w:hAnsiTheme="majorBidi" w:cstheme="majorBidi"/>
          <w:b/>
          <w:bCs/>
          <w:sz w:val="18"/>
          <w:szCs w:val="18"/>
          <w:lang w:bidi="ar-EG"/>
        </w:rPr>
        <w:t>menna.magdy@mediu.ws</w:t>
      </w:r>
    </w:p>
    <w:p w:rsidR="00C76F8D" w:rsidRPr="00426F7E" w:rsidRDefault="00C76F8D" w:rsidP="00C76F8D">
      <w:pPr>
        <w:tabs>
          <w:tab w:val="left" w:pos="4050"/>
        </w:tabs>
        <w:spacing w:after="0"/>
        <w:jc w:val="center"/>
        <w:rPr>
          <w:rFonts w:asciiTheme="majorBidi" w:hAnsiTheme="majorBidi" w:cstheme="majorBidi"/>
          <w:b/>
          <w:bCs/>
          <w:sz w:val="18"/>
          <w:szCs w:val="18"/>
          <w:lang w:bidi="ar-EG"/>
        </w:rPr>
      </w:pPr>
    </w:p>
    <w:p w:rsidR="00C76F8D" w:rsidRDefault="00C76F8D" w:rsidP="00C76F8D">
      <w:pPr>
        <w:spacing w:after="0" w:line="240" w:lineRule="auto"/>
        <w:jc w:val="center"/>
        <w:rPr>
          <w:rFonts w:asciiTheme="majorBidi" w:hAnsiTheme="majorBidi" w:cstheme="majorBidi"/>
          <w:b/>
          <w:bCs/>
          <w:sz w:val="18"/>
          <w:szCs w:val="18"/>
          <w:rtl/>
        </w:rPr>
        <w:sectPr w:rsidR="00C76F8D" w:rsidSect="00C76F8D">
          <w:pgSz w:w="11906" w:h="16838"/>
          <w:pgMar w:top="851" w:right="566" w:bottom="426" w:left="993" w:header="708" w:footer="708" w:gutter="0"/>
          <w:cols w:space="708"/>
          <w:bidi/>
          <w:rtlGutter/>
          <w:docGrid w:linePitch="360"/>
        </w:sectPr>
      </w:pPr>
    </w:p>
    <w:p w:rsidR="00C76F8D" w:rsidRPr="00C76F8D" w:rsidRDefault="00C76F8D" w:rsidP="00C76F8D">
      <w:pPr>
        <w:spacing w:after="0" w:line="240" w:lineRule="auto"/>
        <w:jc w:val="center"/>
        <w:rPr>
          <w:rFonts w:asciiTheme="majorBidi" w:eastAsia="Calibri" w:hAnsiTheme="majorBidi" w:cstheme="majorBidi"/>
          <w:b/>
          <w:bCs/>
          <w:sz w:val="18"/>
          <w:szCs w:val="18"/>
          <w:rtl/>
        </w:rPr>
      </w:pPr>
      <w:r w:rsidRPr="00C76F8D">
        <w:rPr>
          <w:rFonts w:asciiTheme="majorBidi" w:hAnsiTheme="majorBidi" w:cstheme="majorBidi"/>
          <w:b/>
          <w:bCs/>
          <w:sz w:val="18"/>
          <w:szCs w:val="18"/>
          <w:rtl/>
        </w:rPr>
        <w:lastRenderedPageBreak/>
        <w:t xml:space="preserve">الخلاصة – هذا البحث يبحث فى </w:t>
      </w:r>
      <w:r w:rsidRPr="00C76F8D">
        <w:rPr>
          <w:rFonts w:asciiTheme="majorBidi" w:eastAsia="Calibri" w:hAnsiTheme="majorBidi" w:cstheme="majorBidi"/>
          <w:b/>
          <w:bCs/>
          <w:sz w:val="18"/>
          <w:szCs w:val="18"/>
          <w:rtl/>
        </w:rPr>
        <w:t>أدلة المذهب الرابع، والمذهب المختار</w:t>
      </w:r>
    </w:p>
    <w:p w:rsidR="00C76F8D" w:rsidRPr="00C76F8D" w:rsidRDefault="00C76F8D" w:rsidP="00C76F8D">
      <w:pPr>
        <w:spacing w:before="60" w:after="0" w:line="240" w:lineRule="auto"/>
        <w:rPr>
          <w:rFonts w:asciiTheme="majorBidi" w:eastAsia="Calibri" w:hAnsiTheme="majorBidi" w:cstheme="majorBidi"/>
          <w:b/>
          <w:bCs/>
          <w:sz w:val="18"/>
          <w:szCs w:val="18"/>
          <w:rtl/>
        </w:rPr>
      </w:pPr>
      <w:r w:rsidRPr="00C76F8D">
        <w:rPr>
          <w:rFonts w:asciiTheme="majorBidi" w:eastAsia="Calibri" w:hAnsiTheme="majorBidi" w:cstheme="majorBidi"/>
          <w:b/>
          <w:bCs/>
          <w:sz w:val="18"/>
          <w:szCs w:val="18"/>
          <w:rtl/>
        </w:rPr>
        <w:t xml:space="preserve">الكلمات المفتاحية – </w:t>
      </w:r>
      <w:r w:rsidRPr="00C76F8D">
        <w:rPr>
          <w:rFonts w:asciiTheme="majorBidi" w:eastAsia="Calibri" w:hAnsiTheme="majorBidi" w:cstheme="majorBidi" w:hint="cs"/>
          <w:b/>
          <w:bCs/>
          <w:sz w:val="18"/>
          <w:szCs w:val="18"/>
          <w:rtl/>
        </w:rPr>
        <w:t>الرابع، المختار، المذهب</w:t>
      </w:r>
    </w:p>
    <w:p w:rsidR="00C76F8D" w:rsidRPr="00C76F8D" w:rsidRDefault="00C76F8D" w:rsidP="00C76F8D">
      <w:pPr>
        <w:numPr>
          <w:ilvl w:val="0"/>
          <w:numId w:val="2"/>
        </w:numPr>
        <w:spacing w:before="60" w:after="0" w:line="240" w:lineRule="auto"/>
        <w:ind w:left="643" w:hanging="90"/>
        <w:jc w:val="center"/>
        <w:rPr>
          <w:rFonts w:asciiTheme="majorBidi" w:hAnsiTheme="majorBidi" w:cstheme="majorBidi"/>
          <w:b/>
          <w:bCs/>
          <w:sz w:val="18"/>
          <w:szCs w:val="18"/>
          <w:rtl/>
        </w:rPr>
      </w:pPr>
      <w:r w:rsidRPr="00C76F8D">
        <w:rPr>
          <w:rFonts w:asciiTheme="majorBidi" w:hAnsiTheme="majorBidi" w:cstheme="majorBidi"/>
          <w:b/>
          <w:bCs/>
          <w:sz w:val="18"/>
          <w:szCs w:val="18"/>
          <w:rtl/>
        </w:rPr>
        <w:t>.المقدمة</w:t>
      </w:r>
    </w:p>
    <w:p w:rsidR="00C76F8D" w:rsidRPr="00C76F8D" w:rsidRDefault="00C76F8D" w:rsidP="00C76F8D">
      <w:pPr>
        <w:spacing w:after="0" w:line="240" w:lineRule="auto"/>
        <w:jc w:val="center"/>
        <w:rPr>
          <w:rFonts w:asciiTheme="majorBidi" w:eastAsia="Calibri" w:hAnsiTheme="majorBidi" w:cstheme="majorBidi"/>
          <w:b/>
          <w:bCs/>
          <w:sz w:val="18"/>
          <w:szCs w:val="18"/>
          <w:rtl/>
        </w:rPr>
      </w:pPr>
      <w:r w:rsidRPr="00C76F8D">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76F8D">
        <w:rPr>
          <w:rFonts w:asciiTheme="majorBidi" w:eastAsia="Calibri" w:hAnsiTheme="majorBidi" w:cstheme="majorBidi"/>
          <w:b/>
          <w:bCs/>
          <w:sz w:val="18"/>
          <w:szCs w:val="18"/>
          <w:rtl/>
        </w:rPr>
        <w:t>أدلة المذهب الرابع، والمذهب المختار</w:t>
      </w:r>
    </w:p>
    <w:p w:rsidR="00C76F8D" w:rsidRPr="00C76F8D" w:rsidRDefault="00C76F8D" w:rsidP="00C76F8D">
      <w:pPr>
        <w:spacing w:before="60" w:after="0" w:line="240" w:lineRule="auto"/>
        <w:rPr>
          <w:rFonts w:asciiTheme="majorBidi" w:hAnsiTheme="majorBidi" w:cstheme="majorBidi"/>
          <w:b/>
          <w:bCs/>
          <w:sz w:val="18"/>
          <w:szCs w:val="18"/>
          <w:rtl/>
        </w:rPr>
      </w:pPr>
    </w:p>
    <w:p w:rsidR="00C76F8D" w:rsidRPr="00C76F8D" w:rsidRDefault="00C76F8D" w:rsidP="00C76F8D">
      <w:pPr>
        <w:numPr>
          <w:ilvl w:val="0"/>
          <w:numId w:val="3"/>
        </w:numPr>
        <w:spacing w:after="0" w:line="240" w:lineRule="auto"/>
        <w:ind w:left="733" w:hanging="90"/>
        <w:jc w:val="center"/>
        <w:rPr>
          <w:rFonts w:asciiTheme="majorBidi" w:hAnsiTheme="majorBidi" w:cstheme="majorBidi"/>
          <w:b/>
          <w:bCs/>
          <w:sz w:val="18"/>
          <w:szCs w:val="18"/>
          <w:rtl/>
        </w:rPr>
      </w:pPr>
      <w:r w:rsidRPr="00C76F8D">
        <w:rPr>
          <w:rFonts w:asciiTheme="majorBidi" w:hAnsiTheme="majorBidi" w:cstheme="majorBidi"/>
          <w:b/>
          <w:bCs/>
          <w:sz w:val="18"/>
          <w:szCs w:val="18"/>
          <w:rtl/>
        </w:rPr>
        <w:t>.عنوان المقال</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hint="cs"/>
          <w:b/>
          <w:bCs/>
          <w:sz w:val="18"/>
          <w:szCs w:val="18"/>
          <w:rtl/>
          <w:lang w:bidi="ar-EG"/>
        </w:rPr>
        <w:t>أ</w:t>
      </w:r>
      <w:r w:rsidRPr="00C76F8D">
        <w:rPr>
          <w:rFonts w:ascii="Tahoma" w:hAnsi="Tahoma" w:cs="AL-Hotham"/>
          <w:b/>
          <w:bCs/>
          <w:sz w:val="18"/>
          <w:szCs w:val="18"/>
          <w:rtl/>
          <w:lang w:bidi="ar-EG"/>
        </w:rPr>
        <w:t>دل</w:t>
      </w:r>
      <w:r w:rsidRPr="00C76F8D">
        <w:rPr>
          <w:rFonts w:ascii="Tahoma" w:hAnsi="Tahoma" w:cs="AL-Hotham" w:hint="cs"/>
          <w:b/>
          <w:bCs/>
          <w:sz w:val="18"/>
          <w:szCs w:val="18"/>
          <w:rtl/>
          <w:lang w:bidi="ar-EG"/>
        </w:rPr>
        <w:t>ة</w:t>
      </w:r>
      <w:r w:rsidRPr="00C76F8D">
        <w:rPr>
          <w:rFonts w:ascii="Tahoma" w:hAnsi="Tahoma" w:cs="AL-Hotham"/>
          <w:b/>
          <w:bCs/>
          <w:sz w:val="18"/>
          <w:szCs w:val="18"/>
          <w:rtl/>
          <w:lang w:bidi="ar-EG"/>
        </w:rPr>
        <w:t xml:space="preserve"> المذهب الرابع:</w:t>
      </w:r>
    </w:p>
    <w:p w:rsidR="00C76F8D" w:rsidRPr="00C76F8D" w:rsidRDefault="00C76F8D" w:rsidP="00C76F8D">
      <w:pPr>
        <w:pStyle w:val="a3"/>
        <w:bidi/>
        <w:spacing w:before="0" w:beforeAutospacing="0" w:after="0" w:afterAutospacing="0"/>
        <w:jc w:val="lowKashida"/>
        <w:rPr>
          <w:rFonts w:ascii="Tahoma" w:hAnsi="Tahoma" w:cs="AL-Hotham"/>
          <w:b/>
          <w:bCs/>
          <w:sz w:val="18"/>
          <w:szCs w:val="18"/>
          <w:rtl/>
        </w:rPr>
      </w:pPr>
      <w:r w:rsidRPr="00C76F8D">
        <w:rPr>
          <w:rFonts w:ascii="Tahoma" w:hAnsi="Tahoma" w:cs="AL-Hotham" w:hint="cs"/>
          <w:b/>
          <w:bCs/>
          <w:sz w:val="18"/>
          <w:szCs w:val="18"/>
          <w:rtl/>
        </w:rPr>
        <w:t xml:space="preserve">أصحاب هذا </w:t>
      </w:r>
      <w:r w:rsidRPr="00C76F8D">
        <w:rPr>
          <w:rFonts w:ascii="Tahoma" w:hAnsi="Tahoma" w:cs="AL-Hotham"/>
          <w:b/>
          <w:bCs/>
          <w:sz w:val="18"/>
          <w:szCs w:val="18"/>
          <w:rtl/>
        </w:rPr>
        <w:t>المذهب الرابع</w:t>
      </w:r>
      <w:r w:rsidRPr="00C76F8D">
        <w:rPr>
          <w:rFonts w:ascii="Tahoma" w:hAnsi="Tahoma" w:cs="AL-Hotham" w:hint="cs"/>
          <w:b/>
          <w:bCs/>
          <w:sz w:val="18"/>
          <w:szCs w:val="18"/>
          <w:rtl/>
        </w:rPr>
        <w:t>،</w:t>
      </w:r>
      <w:r w:rsidRPr="00C76F8D">
        <w:rPr>
          <w:rFonts w:ascii="Tahoma" w:hAnsi="Tahoma" w:cs="AL-Hotham"/>
          <w:b/>
          <w:bCs/>
          <w:sz w:val="18"/>
          <w:szCs w:val="18"/>
          <w:rtl/>
        </w:rPr>
        <w:t xml:space="preserve"> هم الشيعة الإمامية</w:t>
      </w:r>
      <w:r w:rsidRPr="00C76F8D">
        <w:rPr>
          <w:rFonts w:ascii="Tahoma" w:hAnsi="Tahoma" w:cs="AL-Hotham" w:hint="cs"/>
          <w:b/>
          <w:bCs/>
          <w:sz w:val="18"/>
          <w:szCs w:val="18"/>
          <w:rtl/>
        </w:rPr>
        <w:t>،</w:t>
      </w:r>
      <w:r w:rsidRPr="00C76F8D">
        <w:rPr>
          <w:rFonts w:ascii="Tahoma" w:hAnsi="Tahoma" w:cs="AL-Hotham"/>
          <w:b/>
          <w:bCs/>
          <w:sz w:val="18"/>
          <w:szCs w:val="18"/>
          <w:rtl/>
        </w:rPr>
        <w:t xml:space="preserve"> والنَّظَّام</w:t>
      </w:r>
      <w:r w:rsidRPr="00C76F8D">
        <w:rPr>
          <w:rFonts w:ascii="Tahoma" w:hAnsi="Tahoma" w:cs="AL-Hotham" w:hint="cs"/>
          <w:b/>
          <w:bCs/>
          <w:sz w:val="18"/>
          <w:szCs w:val="18"/>
          <w:rtl/>
        </w:rPr>
        <w:t>،</w:t>
      </w:r>
      <w:r w:rsidRPr="00C76F8D">
        <w:rPr>
          <w:rFonts w:ascii="Tahoma" w:hAnsi="Tahoma" w:cs="AL-Hotham"/>
          <w:b/>
          <w:bCs/>
          <w:sz w:val="18"/>
          <w:szCs w:val="18"/>
          <w:rtl/>
        </w:rPr>
        <w:t xml:space="preserve"> وم</w:t>
      </w:r>
      <w:r w:rsidRPr="00C76F8D">
        <w:rPr>
          <w:rFonts w:ascii="Tahoma" w:hAnsi="Tahoma" w:cs="AL-Hotham" w:hint="cs"/>
          <w:b/>
          <w:bCs/>
          <w:sz w:val="18"/>
          <w:szCs w:val="18"/>
          <w:rtl/>
        </w:rPr>
        <w:t>َ</w:t>
      </w:r>
      <w:r w:rsidRPr="00C76F8D">
        <w:rPr>
          <w:rFonts w:ascii="Tahoma" w:hAnsi="Tahoma" w:cs="AL-Hotham"/>
          <w:b/>
          <w:bCs/>
          <w:sz w:val="18"/>
          <w:szCs w:val="18"/>
          <w:rtl/>
        </w:rPr>
        <w:t>ن على شاكلته</w:t>
      </w:r>
      <w:r w:rsidRPr="00C76F8D">
        <w:rPr>
          <w:rFonts w:ascii="Tahoma" w:hAnsi="Tahoma" w:cs="AL-Hotham" w:hint="cs"/>
          <w:b/>
          <w:bCs/>
          <w:sz w:val="18"/>
          <w:szCs w:val="18"/>
          <w:rtl/>
        </w:rPr>
        <w:t>م، وقد أنكروا</w:t>
      </w:r>
      <w:r w:rsidRPr="00C76F8D">
        <w:rPr>
          <w:rFonts w:ascii="Tahoma" w:hAnsi="Tahoma" w:cs="AL-Hotham"/>
          <w:b/>
          <w:bCs/>
          <w:sz w:val="18"/>
          <w:szCs w:val="18"/>
          <w:rtl/>
        </w:rPr>
        <w:t xml:space="preserve"> وقوع التعبد بالقياس</w:t>
      </w:r>
      <w:r w:rsidRPr="00C76F8D">
        <w:rPr>
          <w:rFonts w:ascii="Tahoma" w:hAnsi="Tahoma" w:cs="AL-Hotham" w:hint="cs"/>
          <w:b/>
          <w:bCs/>
          <w:sz w:val="18"/>
          <w:szCs w:val="18"/>
          <w:rtl/>
        </w:rPr>
        <w:t>.</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rPr>
        <w:t>وقد استدلوا على هذا الإنكار بالأدلة العقلية والأدلة النقلية</w:t>
      </w:r>
      <w:r w:rsidRPr="00C76F8D">
        <w:rPr>
          <w:rFonts w:cs="AL-Hotham" w:hint="cs"/>
          <w:b/>
          <w:bCs/>
          <w:sz w:val="18"/>
          <w:szCs w:val="18"/>
          <w:rtl/>
        </w:rPr>
        <w:t xml:space="preserve">, </w:t>
      </w:r>
      <w:r w:rsidRPr="00C76F8D">
        <w:rPr>
          <w:rFonts w:ascii="Tahoma" w:hAnsi="Tahoma" w:cs="AL-Hotham"/>
          <w:b/>
          <w:bCs/>
          <w:sz w:val="18"/>
          <w:szCs w:val="18"/>
          <w:rtl/>
        </w:rPr>
        <w:t>وقد اكتفينا بذكر ثمانية</w:t>
      </w:r>
      <w:r w:rsidRPr="00C76F8D">
        <w:rPr>
          <w:rFonts w:ascii="Tahoma" w:hAnsi="Tahoma" w:cs="AL-Hotham" w:hint="cs"/>
          <w:b/>
          <w:bCs/>
          <w:sz w:val="18"/>
          <w:szCs w:val="18"/>
          <w:rtl/>
        </w:rPr>
        <w:t>،</w:t>
      </w:r>
      <w:r w:rsidRPr="00C76F8D">
        <w:rPr>
          <w:rFonts w:ascii="Tahoma" w:hAnsi="Tahoma" w:cs="AL-Hotham"/>
          <w:b/>
          <w:bCs/>
          <w:sz w:val="18"/>
          <w:szCs w:val="18"/>
          <w:rtl/>
        </w:rPr>
        <w:t xml:space="preserve"> و</w:t>
      </w:r>
      <w:r w:rsidRPr="00C76F8D">
        <w:rPr>
          <w:rFonts w:ascii="Tahoma" w:hAnsi="Tahoma" w:cs="AL-Hotham" w:hint="cs"/>
          <w:b/>
          <w:bCs/>
          <w:sz w:val="18"/>
          <w:szCs w:val="18"/>
          <w:rtl/>
        </w:rPr>
        <w:t>تمت مناقشتها</w:t>
      </w:r>
      <w:r w:rsidRPr="00C76F8D">
        <w:rPr>
          <w:rFonts w:ascii="Tahoma" w:hAnsi="Tahoma" w:cs="AL-Hotham"/>
          <w:b/>
          <w:bCs/>
          <w:sz w:val="18"/>
          <w:szCs w:val="18"/>
          <w:rtl/>
        </w:rPr>
        <w:t xml:space="preserve"> مناقشة مستفيضة فيما مَضَى، وبيَّنَا وجه بطلانها</w:t>
      </w:r>
      <w:r w:rsidRPr="00C76F8D">
        <w:rPr>
          <w:rFonts w:ascii="Tahoma" w:hAnsi="Tahoma" w:cs="AL-Hotham" w:hint="cs"/>
          <w:b/>
          <w:bCs/>
          <w:sz w:val="18"/>
          <w:szCs w:val="18"/>
          <w:rtl/>
        </w:rPr>
        <w:t>؛</w:t>
      </w:r>
      <w:r w:rsidRPr="00C76F8D">
        <w:rPr>
          <w:rFonts w:ascii="Tahoma" w:hAnsi="Tahoma" w:cs="AL-Hotham"/>
          <w:b/>
          <w:bCs/>
          <w:sz w:val="18"/>
          <w:szCs w:val="18"/>
          <w:rtl/>
        </w:rPr>
        <w:t xml:space="preserve"> وذلك عند التعرض لآراء العلماء في جواز التعبد بالقياس وعدم جوازه عقلًا، فلا داعي لإعادتها أو الإتيان بما هو من قبيلها؛ إذ إن ما قيل هناك يصح أن يقال هنا استدلالًا ومناقشة</w:t>
      </w:r>
      <w:r w:rsidRPr="00C76F8D">
        <w:rPr>
          <w:rFonts w:ascii="Tahoma" w:hAnsi="Tahoma" w:cs="AL-Hotham" w:hint="cs"/>
          <w:b/>
          <w:bCs/>
          <w:sz w:val="18"/>
          <w:szCs w:val="18"/>
          <w:rtl/>
        </w:rPr>
        <w:t>ً</w:t>
      </w:r>
      <w:r w:rsidRPr="00C76F8D">
        <w:rPr>
          <w:rFonts w:ascii="Tahoma" w:hAnsi="Tahoma" w:cs="AL-Hotham"/>
          <w:b/>
          <w:bCs/>
          <w:sz w:val="18"/>
          <w:szCs w:val="18"/>
          <w:rtl/>
        </w:rPr>
        <w:t>.</w:t>
      </w:r>
    </w:p>
    <w:p w:rsidR="00C76F8D" w:rsidRPr="00C76F8D" w:rsidRDefault="00C76F8D" w:rsidP="00C76F8D">
      <w:pPr>
        <w:pStyle w:val="a3"/>
        <w:bidi/>
        <w:spacing w:before="0" w:beforeAutospacing="0" w:after="0" w:afterAutospacing="0"/>
        <w:jc w:val="lowKashida"/>
        <w:rPr>
          <w:rFonts w:cs="AL-Hotham"/>
          <w:b/>
          <w:bCs/>
          <w:spacing w:val="-4"/>
          <w:sz w:val="18"/>
          <w:szCs w:val="18"/>
        </w:rPr>
      </w:pPr>
      <w:r w:rsidRPr="00C76F8D">
        <w:rPr>
          <w:rFonts w:ascii="Tahoma" w:hAnsi="Tahoma" w:cs="AL-Hotham"/>
          <w:b/>
          <w:bCs/>
          <w:spacing w:val="-4"/>
          <w:sz w:val="18"/>
          <w:szCs w:val="18"/>
          <w:rtl/>
          <w:lang w:bidi="ar-EG"/>
        </w:rPr>
        <w:t>أما أدلتهم السمعية فهي نفس الأدلة التي أتَى بها أصحاب المذهب الثالث</w:t>
      </w:r>
      <w:r w:rsidRPr="00C76F8D">
        <w:rPr>
          <w:rFonts w:ascii="Tahoma" w:hAnsi="Tahoma" w:cs="AL-Hotham" w:hint="cs"/>
          <w:b/>
          <w:bCs/>
          <w:spacing w:val="-4"/>
          <w:sz w:val="18"/>
          <w:szCs w:val="18"/>
          <w:rtl/>
          <w:lang w:bidi="ar-EG"/>
        </w:rPr>
        <w:t>,</w:t>
      </w:r>
      <w:r w:rsidRPr="00C76F8D">
        <w:rPr>
          <w:rFonts w:ascii="Tahoma" w:hAnsi="Tahoma" w:cs="AL-Hotham"/>
          <w:b/>
          <w:bCs/>
          <w:spacing w:val="-4"/>
          <w:sz w:val="18"/>
          <w:szCs w:val="18"/>
          <w:rtl/>
          <w:lang w:bidi="ar-EG"/>
        </w:rPr>
        <w:t xml:space="preserve"> الذين ينكرون وقوع التعبد بالقياس شرعًا، وقد ذكرنا منها ما فيه كفاية، وناقشن</w:t>
      </w:r>
      <w:r w:rsidRPr="00C76F8D">
        <w:rPr>
          <w:rFonts w:ascii="Tahoma" w:hAnsi="Tahoma" w:cs="AL-Hotham" w:hint="cs"/>
          <w:b/>
          <w:bCs/>
          <w:spacing w:val="-4"/>
          <w:sz w:val="18"/>
          <w:szCs w:val="18"/>
          <w:rtl/>
          <w:lang w:bidi="ar-EG"/>
        </w:rPr>
        <w:t>ا</w:t>
      </w:r>
      <w:r w:rsidRPr="00C76F8D">
        <w:rPr>
          <w:rFonts w:ascii="Tahoma" w:hAnsi="Tahoma" w:cs="AL-Hotham"/>
          <w:b/>
          <w:bCs/>
          <w:spacing w:val="-4"/>
          <w:sz w:val="18"/>
          <w:szCs w:val="18"/>
          <w:rtl/>
          <w:lang w:bidi="ar-EG"/>
        </w:rPr>
        <w:t>ها مناقشة تبين من خلالها مَدَى ضعفها وأنها باطلة</w:t>
      </w:r>
      <w:r w:rsidRPr="00C76F8D">
        <w:rPr>
          <w:rFonts w:ascii="Tahoma" w:hAnsi="Tahoma" w:cs="AL-Hotham" w:hint="cs"/>
          <w:b/>
          <w:bCs/>
          <w:spacing w:val="-4"/>
          <w:sz w:val="18"/>
          <w:szCs w:val="18"/>
          <w:rtl/>
          <w:lang w:bidi="ar-EG"/>
        </w:rPr>
        <w:t>؛</w:t>
      </w:r>
      <w:r w:rsidRPr="00C76F8D">
        <w:rPr>
          <w:rFonts w:ascii="Tahoma" w:hAnsi="Tahoma" w:cs="AL-Hotham"/>
          <w:b/>
          <w:bCs/>
          <w:spacing w:val="-4"/>
          <w:sz w:val="18"/>
          <w:szCs w:val="18"/>
          <w:rtl/>
          <w:lang w:bidi="ar-EG"/>
        </w:rPr>
        <w:t xml:space="preserve"> غير أن الشيعة الإمامية لا يقولون بإجماع الصحابة، وإنما يقولون بإجماع العِترة ويَعْنون به: إجماع أهل البيت النبوي الشريف</w:t>
      </w:r>
      <w:r w:rsidRPr="00C76F8D">
        <w:rPr>
          <w:rFonts w:ascii="Tahoma" w:hAnsi="Tahoma" w:cs="AL-Hotham" w:hint="cs"/>
          <w:b/>
          <w:bCs/>
          <w:spacing w:val="-4"/>
          <w:sz w:val="18"/>
          <w:szCs w:val="18"/>
          <w:rtl/>
          <w:lang w:bidi="ar-EG"/>
        </w:rPr>
        <w:t>؛</w:t>
      </w:r>
      <w:r w:rsidRPr="00C76F8D">
        <w:rPr>
          <w:rFonts w:ascii="Tahoma" w:hAnsi="Tahoma" w:cs="AL-Hotham"/>
          <w:b/>
          <w:bCs/>
          <w:spacing w:val="-4"/>
          <w:sz w:val="18"/>
          <w:szCs w:val="18"/>
          <w:rtl/>
          <w:lang w:bidi="ar-EG"/>
        </w:rPr>
        <w:t xml:space="preserve"> ولذلك فقد استدلوا به على دعواهم وتركوا إجماع الصحابة.</w:t>
      </w:r>
    </w:p>
    <w:p w:rsidR="00C76F8D" w:rsidRPr="00C76F8D" w:rsidRDefault="00C76F8D" w:rsidP="00C76F8D">
      <w:pPr>
        <w:pStyle w:val="a3"/>
        <w:bidi/>
        <w:spacing w:before="0" w:beforeAutospacing="0" w:after="0" w:afterAutospacing="0"/>
        <w:jc w:val="lowKashida"/>
        <w:rPr>
          <w:rFonts w:ascii="Tahoma" w:hAnsi="Tahoma" w:cs="AL-Hotham"/>
          <w:b/>
          <w:bCs/>
          <w:sz w:val="18"/>
          <w:szCs w:val="18"/>
          <w:rtl/>
        </w:rPr>
      </w:pPr>
      <w:r w:rsidRPr="00C76F8D">
        <w:rPr>
          <w:rFonts w:ascii="Tahoma" w:hAnsi="Tahoma" w:cs="AL-Hotham"/>
          <w:b/>
          <w:bCs/>
          <w:sz w:val="18"/>
          <w:szCs w:val="18"/>
          <w:rtl/>
          <w:lang w:bidi="ar-EG"/>
        </w:rPr>
        <w:t xml:space="preserve">ومن الممكن أن نناقش استدلالهم بإجماع أهل بيت، بأن نقول: </w:t>
      </w:r>
    </w:p>
    <w:p w:rsidR="00C76F8D" w:rsidRPr="00C76F8D" w:rsidRDefault="00C76F8D" w:rsidP="00C76F8D">
      <w:pPr>
        <w:pStyle w:val="a3"/>
        <w:bidi/>
        <w:spacing w:before="0" w:beforeAutospacing="0" w:after="0" w:afterAutospacing="0"/>
        <w:jc w:val="lowKashida"/>
        <w:rPr>
          <w:rFonts w:cs="AL-Hotham"/>
          <w:b/>
          <w:bCs/>
          <w:sz w:val="18"/>
          <w:szCs w:val="18"/>
          <w:lang w:bidi="ar-EG"/>
        </w:rPr>
      </w:pPr>
      <w:r w:rsidRPr="00C76F8D">
        <w:rPr>
          <w:rFonts w:ascii="Tahoma" w:hAnsi="Tahoma" w:cs="AL-Hotham"/>
          <w:b/>
          <w:bCs/>
          <w:sz w:val="18"/>
          <w:szCs w:val="18"/>
          <w:rtl/>
          <w:lang w:bidi="ar-EG"/>
        </w:rPr>
        <w:t>نحن لا نسلم لكم أن العِترة قد أجمعوا على إنكار القياس، وروايات الشيعة الإمامية عنهم بالإنكار معارضة لروايات الزيدية عنهم؛ فالزيدية قد رَوَوْا عن أهل البيت أنهم عملوا بالقياس، فما جوابكم عما ن</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قل عن الزيدية</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 xml:space="preserve"> هاتوا برهانكم إن كنتم صادقين</w:t>
      </w:r>
      <w:r w:rsidRPr="00C76F8D">
        <w:rPr>
          <w:rFonts w:cs="AL-Hotham" w:hint="cs"/>
          <w:b/>
          <w:bCs/>
          <w:sz w:val="18"/>
          <w:szCs w:val="18"/>
          <w:rtl/>
          <w:lang w:bidi="ar-EG"/>
        </w:rPr>
        <w:t>!</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وعلى تقدير إجماعهم على ما ذكر، فنحن لا نسلم بأنه حُجَّة يجب اتباعها؛ وذلك لأن العترة بعض الأمة وليسوا كل الأمة، والمعتبر إنما هو إجماع كل الأمة؛ لأن العِصمة من الخطأ إنما تكون في إجماع كل من يعتد بإجماعهم، وعلى ذلك فإن إنكار القياس الذي صح عندكم من طرف أهل البيت، لا يكون دليلًا على عدم حجية القياس؛ لثبوت معارضته بمثله عنهم، ولأن</w:t>
      </w:r>
      <w:r w:rsidRPr="00C76F8D">
        <w:rPr>
          <w:rFonts w:ascii="Tahoma" w:hAnsi="Tahoma" w:cs="AL-Hotham" w:hint="cs"/>
          <w:b/>
          <w:bCs/>
          <w:sz w:val="18"/>
          <w:szCs w:val="18"/>
          <w:rtl/>
          <w:lang w:bidi="ar-EG"/>
        </w:rPr>
        <w:t>هم</w:t>
      </w:r>
      <w:r w:rsidRPr="00C76F8D">
        <w:rPr>
          <w:rFonts w:ascii="Tahoma" w:hAnsi="Tahoma" w:cs="AL-Hotham"/>
          <w:b/>
          <w:bCs/>
          <w:sz w:val="18"/>
          <w:szCs w:val="18"/>
          <w:rtl/>
          <w:lang w:bidi="ar-EG"/>
        </w:rPr>
        <w:t xml:space="preserve"> بعض الأمة</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 xml:space="preserve"> وعلى ذلك لَمْ يبقَ لهؤلاء حُجَّة يعتمدون عليها، أو شبهة يتمسكون بأهدابها. </w:t>
      </w:r>
    </w:p>
    <w:p w:rsidR="00C76F8D" w:rsidRPr="00C76F8D" w:rsidRDefault="00C76F8D" w:rsidP="00C76F8D">
      <w:pPr>
        <w:pStyle w:val="a3"/>
        <w:bidi/>
        <w:spacing w:after="0" w:afterAutospacing="0"/>
        <w:jc w:val="lowKashida"/>
        <w:rPr>
          <w:rFonts w:cs="AL-Hotham"/>
          <w:b/>
          <w:bCs/>
          <w:sz w:val="18"/>
          <w:szCs w:val="18"/>
        </w:rPr>
      </w:pPr>
      <w:r w:rsidRPr="00C76F8D">
        <w:rPr>
          <w:rFonts w:ascii="Tahoma" w:hAnsi="Tahoma" w:cs="AL-Hotham" w:hint="cs"/>
          <w:b/>
          <w:bCs/>
          <w:sz w:val="18"/>
          <w:szCs w:val="18"/>
          <w:rtl/>
          <w:lang w:bidi="ar-EG"/>
        </w:rPr>
        <w:t>ثانيًا</w:t>
      </w:r>
      <w:r w:rsidRPr="00C76F8D">
        <w:rPr>
          <w:rFonts w:ascii="Tahoma" w:hAnsi="Tahoma" w:cs="AL-Hotham"/>
          <w:b/>
          <w:bCs/>
          <w:sz w:val="18"/>
          <w:szCs w:val="18"/>
          <w:rtl/>
          <w:lang w:bidi="ar-EG"/>
        </w:rPr>
        <w:t>: "المذهب المختار":</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 xml:space="preserve">بعد استعراض المذاهب في حجية القياس أو التعبد به على الوجه السابق، وبعد ذكر أدلتها ومناقشتها مناقشة ضافية وافية، يتبين لنا ما يلي: </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أولًا: أن القياس ثبت بالأدلة الصحيحة القاطعة</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 xml:space="preserve"> </w:t>
      </w:r>
      <w:r w:rsidRPr="00C76F8D">
        <w:rPr>
          <w:rFonts w:ascii="Tahoma" w:hAnsi="Tahoma" w:cs="AL-Hotham" w:hint="cs"/>
          <w:b/>
          <w:bCs/>
          <w:sz w:val="18"/>
          <w:szCs w:val="18"/>
          <w:rtl/>
          <w:lang w:bidi="ar-EG"/>
        </w:rPr>
        <w:t>و</w:t>
      </w:r>
      <w:r w:rsidRPr="00C76F8D">
        <w:rPr>
          <w:rFonts w:ascii="Tahoma" w:hAnsi="Tahoma" w:cs="AL-Hotham"/>
          <w:b/>
          <w:bCs/>
          <w:sz w:val="18"/>
          <w:szCs w:val="18"/>
          <w:rtl/>
          <w:lang w:bidi="ar-EG"/>
        </w:rPr>
        <w:t>وقوع التعبد به من طرف الله تعالى للمجتهدين؛ حيث كل</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فهم بتحصيله وتحصيل وسائله كما تعبَّد به بقية المكلفين، حيث أمرهم بأن يعملوا بما ثبت به، كعملهم بالكتاب والسُّنَّة وإجماع الأمة ما تحتاج إلى ذلك.</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ثانيًا: ثبت بكثير من الأدلة السمعية من الكتاب والسُّنَّة والإجماع، وقوع التعبد بالقياس شرعًا، ولَمْ يثبت ذلك بطريق من طرق العقل كما ادَّعَى البعض؛ لأن العقل لو خُل</w:t>
      </w:r>
      <w:r w:rsidRPr="00C76F8D">
        <w:rPr>
          <w:rFonts w:ascii="Tahoma" w:hAnsi="Tahoma" w:cs="AL-Hotham" w:hint="cs"/>
          <w:b/>
          <w:bCs/>
          <w:sz w:val="18"/>
          <w:szCs w:val="18"/>
          <w:rtl/>
          <w:lang w:bidi="ar-EG"/>
        </w:rPr>
        <w:t>ِّي</w:t>
      </w:r>
      <w:r w:rsidRPr="00C76F8D">
        <w:rPr>
          <w:rFonts w:ascii="Tahoma" w:hAnsi="Tahoma" w:cs="AL-Hotham"/>
          <w:b/>
          <w:bCs/>
          <w:sz w:val="18"/>
          <w:szCs w:val="18"/>
          <w:rtl/>
          <w:lang w:bidi="ar-EG"/>
        </w:rPr>
        <w:t xml:space="preserve"> ونفسه، فإنه لا يُدرك من حسن الشيء حتى يفرضه إلا ملاءمته لمرغوب الإنسان، أو كونه صفة حميدة، وذلك لا دخلَ له في الفرضية وعدمها، وأما على معنَى أن الشارع يثيب على فعله ويعاقب على تركه، فذلك أمر يعجز العقل عنه، وإنما هو لله تعالى وحدَه خالق كل شيء، وهو على كل شيء وكيل.</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ثالثًا: إن الأدلة المذكورة التي تدل على وقوع التعبد بالقياس؛ منها ما هو قطعي الدلالة، فلا يحتمل غيرها احتمالًا ناشئًا عن دليل، ومنها ما هو ظني أُتي به للاستئناس ولتقوية الدليل القطعي، وقد ذكرنا ما ه</w:t>
      </w:r>
      <w:r w:rsidRPr="00C76F8D">
        <w:rPr>
          <w:rFonts w:ascii="Tahoma" w:hAnsi="Tahoma" w:cs="AL-Hotham" w:hint="cs"/>
          <w:b/>
          <w:bCs/>
          <w:sz w:val="18"/>
          <w:szCs w:val="18"/>
          <w:rtl/>
          <w:lang w:bidi="ar-EG"/>
        </w:rPr>
        <w:t>و</w:t>
      </w:r>
      <w:r w:rsidRPr="00C76F8D">
        <w:rPr>
          <w:rFonts w:ascii="Tahoma" w:hAnsi="Tahoma" w:cs="AL-Hotham"/>
          <w:b/>
          <w:bCs/>
          <w:sz w:val="18"/>
          <w:szCs w:val="18"/>
          <w:rtl/>
          <w:lang w:bidi="ar-EG"/>
        </w:rPr>
        <w:t xml:space="preserve"> ظني منها، وما هو قطعي بالتفصيل.</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lastRenderedPageBreak/>
        <w:t>رابعًا: إن حجية القياس مسألة قطعية بالمعنى الذي ذكرناه؛ لأن الدليل القطعي دل على ذلك، ومن قال: إن حجية القياس ظنية، و</w:t>
      </w:r>
      <w:r w:rsidRPr="00C76F8D">
        <w:rPr>
          <w:rFonts w:ascii="Tahoma" w:hAnsi="Tahoma" w:cs="AL-Hotham" w:hint="cs"/>
          <w:b/>
          <w:bCs/>
          <w:sz w:val="18"/>
          <w:szCs w:val="18"/>
          <w:rtl/>
          <w:lang w:bidi="ar-EG"/>
        </w:rPr>
        <w:t>إ</w:t>
      </w:r>
      <w:r w:rsidRPr="00C76F8D">
        <w:rPr>
          <w:rFonts w:ascii="Tahoma" w:hAnsi="Tahoma" w:cs="AL-Hotham"/>
          <w:b/>
          <w:bCs/>
          <w:sz w:val="18"/>
          <w:szCs w:val="18"/>
          <w:rtl/>
          <w:lang w:bidi="ar-EG"/>
        </w:rPr>
        <w:t>ن الدليل الدال عليها ظني، لا نسلم له قولًا</w:t>
      </w:r>
      <w:r w:rsidRPr="00C76F8D">
        <w:rPr>
          <w:rFonts w:ascii="Tahoma" w:hAnsi="Tahoma" w:cs="AL-Hotham" w:hint="cs"/>
          <w:b/>
          <w:bCs/>
          <w:sz w:val="18"/>
          <w:szCs w:val="18"/>
          <w:rtl/>
          <w:lang w:bidi="ar-EG"/>
        </w:rPr>
        <w:t xml:space="preserve"> مثل</w:t>
      </w:r>
      <w:r w:rsidRPr="00C76F8D">
        <w:rPr>
          <w:rFonts w:ascii="Tahoma" w:hAnsi="Tahoma" w:cs="AL-Hotham"/>
          <w:b/>
          <w:bCs/>
          <w:sz w:val="18"/>
          <w:szCs w:val="18"/>
          <w:rtl/>
          <w:lang w:bidi="ar-EG"/>
        </w:rPr>
        <w:t xml:space="preserve"> هذا إلا على اعتبار أن الظني معناه ما يحتمل غير المتبادر منه، ولا احتمالًا لا دليلَ عليه، فيكون كلامه مقبولًا، ولسنا في خلاف معه إلا من حيث اللفظ والتعبير</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 xml:space="preserve"> وذلك ليس خلافًا جوهريًّا.</w:t>
      </w:r>
    </w:p>
    <w:p w:rsidR="00C76F8D" w:rsidRPr="00C76F8D" w:rsidRDefault="00C76F8D" w:rsidP="00C76F8D">
      <w:pPr>
        <w:pStyle w:val="a3"/>
        <w:bidi/>
        <w:spacing w:before="0" w:beforeAutospacing="0" w:after="0" w:afterAutospacing="0"/>
        <w:jc w:val="lowKashida"/>
        <w:rPr>
          <w:rFonts w:cs="AL-Hotham"/>
          <w:b/>
          <w:bCs/>
          <w:sz w:val="18"/>
          <w:szCs w:val="18"/>
        </w:rPr>
      </w:pPr>
      <w:r w:rsidRPr="00C76F8D">
        <w:rPr>
          <w:rFonts w:ascii="Tahoma" w:hAnsi="Tahoma" w:cs="AL-Hotham"/>
          <w:b/>
          <w:bCs/>
          <w:sz w:val="18"/>
          <w:szCs w:val="18"/>
          <w:rtl/>
          <w:lang w:bidi="ar-EG"/>
        </w:rPr>
        <w:t>وعلى ذلك</w:t>
      </w:r>
      <w:r w:rsidRPr="00C76F8D">
        <w:rPr>
          <w:rFonts w:ascii="Tahoma" w:hAnsi="Tahoma" w:cs="AL-Hotham" w:hint="cs"/>
          <w:b/>
          <w:bCs/>
          <w:sz w:val="18"/>
          <w:szCs w:val="18"/>
          <w:rtl/>
          <w:lang w:bidi="ar-EG"/>
        </w:rPr>
        <w:t>؛</w:t>
      </w:r>
      <w:r w:rsidRPr="00C76F8D">
        <w:rPr>
          <w:rFonts w:ascii="Tahoma" w:hAnsi="Tahoma" w:cs="AL-Hotham"/>
          <w:b/>
          <w:bCs/>
          <w:sz w:val="18"/>
          <w:szCs w:val="18"/>
          <w:rtl/>
          <w:lang w:bidi="ar-EG"/>
        </w:rPr>
        <w:t xml:space="preserve"> فإن المذهب المختار الذي قامت البراهين على تأييده وإبطال ما عداه، هو مذهب الجمهور الذي يقضي بأن القياس حُجَّة شرعية تعبد الله تعالى المجتهدين بتحصيله، كما تعبد المكلفين بأن يعملوا بما ثبت به، وقد جَرَى العمل والقول به من وقت الرسول </w:t>
      </w:r>
      <w:r w:rsidRPr="00C76F8D">
        <w:rPr>
          <w:rFonts w:ascii="AGA Arabesque" w:hAnsi="AGA Arabesque" w:cs="Tahoma"/>
          <w:b/>
          <w:bCs/>
          <w:position w:val="-4"/>
          <w:sz w:val="18"/>
          <w:szCs w:val="18"/>
          <w:lang w:bidi="ar-EG"/>
        </w:rPr>
        <w:t></w:t>
      </w:r>
      <w:r w:rsidRPr="00C76F8D">
        <w:rPr>
          <w:rFonts w:ascii="Tahoma" w:hAnsi="Tahoma" w:cs="AL-Hotham"/>
          <w:b/>
          <w:bCs/>
          <w:sz w:val="18"/>
          <w:szCs w:val="18"/>
          <w:rtl/>
          <w:lang w:bidi="ar-EG"/>
        </w:rPr>
        <w:t xml:space="preserve"> وصحابته الأخيار إلى يومنا هذا</w:t>
      </w:r>
      <w:r w:rsidRPr="00C76F8D">
        <w:rPr>
          <w:rFonts w:ascii="Tahoma" w:hAnsi="Tahoma" w:cs="AL-Hotham" w:hint="cs"/>
          <w:b/>
          <w:bCs/>
          <w:sz w:val="18"/>
          <w:szCs w:val="18"/>
          <w:rtl/>
          <w:lang w:bidi="ar-EG"/>
        </w:rPr>
        <w:t>.</w:t>
      </w:r>
    </w:p>
    <w:p w:rsidR="00C76F8D" w:rsidRPr="00C76F8D" w:rsidRDefault="00C76F8D" w:rsidP="00C76F8D">
      <w:pPr>
        <w:spacing w:after="0" w:line="240" w:lineRule="auto"/>
        <w:jc w:val="center"/>
        <w:rPr>
          <w:rFonts w:asciiTheme="majorBidi" w:eastAsia="Calibri" w:hAnsiTheme="majorBidi" w:cstheme="majorBidi"/>
          <w:b/>
          <w:bCs/>
          <w:sz w:val="18"/>
          <w:szCs w:val="18"/>
          <w:rtl/>
          <w:lang w:bidi="ar-EG"/>
        </w:rPr>
      </w:pPr>
      <w:r w:rsidRPr="00C76F8D">
        <w:rPr>
          <w:rFonts w:ascii="Tahoma" w:hAnsi="Tahoma" w:cs="AL-Hotham"/>
          <w:b/>
          <w:bCs/>
          <w:sz w:val="18"/>
          <w:szCs w:val="18"/>
          <w:rtl/>
          <w:lang w:bidi="ar-EG"/>
        </w:rPr>
        <w:t>وبهذا نأتي على مذاهب العلماء في الحُجية، وما يتعلق بها من مناقشات لأدلتهم، وترجيح اتضح رُجحانه</w:t>
      </w:r>
    </w:p>
    <w:p w:rsidR="00C76F8D" w:rsidRPr="00C76F8D" w:rsidRDefault="00C76F8D" w:rsidP="00C76F8D">
      <w:pPr>
        <w:spacing w:after="0" w:line="240" w:lineRule="auto"/>
        <w:rPr>
          <w:rFonts w:asciiTheme="majorBidi" w:hAnsiTheme="majorBidi" w:cstheme="majorBidi"/>
          <w:b/>
          <w:bCs/>
          <w:sz w:val="18"/>
          <w:szCs w:val="18"/>
          <w:rtl/>
        </w:rPr>
      </w:pPr>
    </w:p>
    <w:p w:rsidR="00C76F8D" w:rsidRPr="00C76F8D" w:rsidRDefault="00C76F8D" w:rsidP="00C76F8D">
      <w:pPr>
        <w:spacing w:after="0" w:line="240" w:lineRule="auto"/>
        <w:jc w:val="center"/>
        <w:rPr>
          <w:rFonts w:asciiTheme="majorBidi" w:hAnsiTheme="majorBidi" w:cstheme="majorBidi"/>
          <w:b/>
          <w:bCs/>
          <w:sz w:val="18"/>
          <w:szCs w:val="18"/>
          <w:rtl/>
        </w:rPr>
      </w:pPr>
      <w:r w:rsidRPr="00C76F8D">
        <w:rPr>
          <w:rFonts w:asciiTheme="majorBidi" w:hAnsiTheme="majorBidi" w:cstheme="majorBidi"/>
          <w:b/>
          <w:bCs/>
          <w:sz w:val="18"/>
          <w:szCs w:val="18"/>
          <w:rtl/>
        </w:rPr>
        <w:t>المراجع والمصادر:</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(إتحاف ذوي البصائر شرح روضة الناظر)</w:t>
      </w:r>
    </w:p>
    <w:p w:rsidR="00C76F8D" w:rsidRPr="00C76F8D" w:rsidRDefault="00C76F8D" w:rsidP="00C76F8D">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76F8D">
        <w:rPr>
          <w:rFonts w:asciiTheme="majorBidi" w:eastAsia="Calibri" w:hAnsiTheme="majorBidi" w:cstheme="majorBidi"/>
          <w:b/>
          <w:bCs/>
          <w:sz w:val="18"/>
          <w:szCs w:val="18"/>
          <w:rtl/>
        </w:rPr>
        <w:t>عبد الكريم النملة، الرياض، دار العاصمة، 1996م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(التلويح على التوضيح)</w:t>
      </w:r>
    </w:p>
    <w:p w:rsidR="00C76F8D" w:rsidRPr="00C76F8D" w:rsidRDefault="00C76F8D" w:rsidP="00C76F8D">
      <w:pPr>
        <w:pStyle w:val="a3"/>
        <w:bidi/>
        <w:spacing w:before="0" w:beforeAutospacing="0" w:after="0" w:afterAutospacing="0"/>
        <w:ind w:left="567"/>
        <w:jc w:val="lowKashida"/>
        <w:rPr>
          <w:rFonts w:asciiTheme="majorBidi" w:eastAsia="Calibri" w:hAnsiTheme="majorBidi" w:cstheme="majorBidi"/>
          <w:b/>
          <w:bCs/>
          <w:sz w:val="18"/>
          <w:szCs w:val="18"/>
          <w:rtl/>
        </w:rPr>
      </w:pPr>
      <w:r w:rsidRPr="00C76F8D">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(الإحكام في أصول الأحكام)</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t>سيف الدين الآمدي، بيروت، دار الكتب العلمية، 1990م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(الإِبهاج في شرح المنهاج للبيضاوي)</w:t>
      </w:r>
    </w:p>
    <w:p w:rsidR="00C76F8D" w:rsidRPr="00C76F8D" w:rsidRDefault="00C76F8D" w:rsidP="00C76F8D">
      <w:pPr>
        <w:tabs>
          <w:tab w:val="left" w:pos="472"/>
        </w:tabs>
        <w:spacing w:after="0" w:line="240" w:lineRule="auto"/>
        <w:ind w:left="567"/>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(أصول السَّرخسي)</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t>السَّرخسي محمد بن أحمد بن أبي سهل، عالم الكتب، 1986م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(البرهان في أصول الفقه)</w:t>
      </w:r>
    </w:p>
    <w:p w:rsidR="00C76F8D" w:rsidRPr="00C76F8D" w:rsidRDefault="00C76F8D" w:rsidP="00C76F8D">
      <w:pPr>
        <w:tabs>
          <w:tab w:val="left" w:pos="472"/>
        </w:tabs>
        <w:spacing w:after="0" w:line="240" w:lineRule="auto"/>
        <w:ind w:left="72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(سلّم الوصول في شرح نهاية السّول) مطبوع مع (نهاية السّول)</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t>محمد بخيت المطيعي، عالم الكتب، 1994م.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(شرح اللّمع)</w:t>
      </w:r>
    </w:p>
    <w:p w:rsidR="00C76F8D" w:rsidRPr="00C76F8D" w:rsidRDefault="00C76F8D" w:rsidP="00C76F8D">
      <w:pPr>
        <w:tabs>
          <w:tab w:val="left" w:pos="472"/>
        </w:tabs>
        <w:spacing w:after="0" w:line="240" w:lineRule="auto"/>
        <w:ind w:left="567"/>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(قواطع الأدلة في الأصول)</w:t>
      </w:r>
    </w:p>
    <w:p w:rsidR="00C76F8D" w:rsidRPr="00C76F8D" w:rsidRDefault="00C76F8D" w:rsidP="00C76F8D">
      <w:pPr>
        <w:tabs>
          <w:tab w:val="left" w:pos="472"/>
        </w:tabs>
        <w:spacing w:after="0" w:line="240" w:lineRule="auto"/>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t>منصور بن السمعاني، بيروت، دار الكتب العلمية، 1997م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(كشف الأسرار عن أصول فخر الإسلام للبزدوي)</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t>عبد العزيز البخاري، بيروت، دار الكتب العلمية، 1997م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(نفائس الوصول في شرح المحصول)</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r>
      <w:r w:rsidRPr="00C76F8D">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(شرح الكوكب المنير)</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r>
      <w:r w:rsidRPr="00C76F8D">
        <w:rPr>
          <w:rFonts w:asciiTheme="majorBidi" w:hAnsiTheme="majorBidi" w:cstheme="majorBidi"/>
          <w:b/>
          <w:bCs/>
          <w:noProof/>
          <w:sz w:val="18"/>
          <w:szCs w:val="18"/>
          <w:rtl/>
          <w:lang w:eastAsia="ar-SA"/>
        </w:rPr>
        <w:tab/>
        <w:t>محمد بن أحمد بن عبد العزيز بن النجار، مكتبة العبيكان، 1997م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(إرشاد الفحول إلى تحقيق الحق في علم الأصول)</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r>
      <w:r w:rsidRPr="00C76F8D">
        <w:rPr>
          <w:rFonts w:asciiTheme="majorBidi" w:hAnsiTheme="majorBidi" w:cstheme="majorBidi"/>
          <w:b/>
          <w:bCs/>
          <w:noProof/>
          <w:sz w:val="18"/>
          <w:szCs w:val="18"/>
          <w:rtl/>
          <w:lang w:eastAsia="ar-SA"/>
        </w:rPr>
        <w:tab/>
        <w:t>محمد بن علي الشوكاني، دار الكتب العلمية، 1999م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(أصول الفقه الإسلامي)</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r>
      <w:r w:rsidRPr="00C76F8D">
        <w:rPr>
          <w:rFonts w:asciiTheme="majorBidi" w:hAnsiTheme="majorBidi" w:cstheme="majorBidi"/>
          <w:b/>
          <w:bCs/>
          <w:noProof/>
          <w:sz w:val="18"/>
          <w:szCs w:val="18"/>
          <w:rtl/>
          <w:lang w:eastAsia="ar-SA"/>
        </w:rPr>
        <w:tab/>
        <w:t>زكيّ الدين شعبان، مؤسسة علي الصباح للنشر، 1988م</w:t>
      </w:r>
    </w:p>
    <w:p w:rsidR="00C76F8D" w:rsidRPr="00C76F8D" w:rsidRDefault="00C76F8D" w:rsidP="00C76F8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(الوجيز في أصول الفقه)</w:t>
      </w:r>
    </w:p>
    <w:p w:rsidR="00C76F8D" w:rsidRPr="00C76F8D" w:rsidRDefault="00C76F8D" w:rsidP="00C76F8D">
      <w:pPr>
        <w:tabs>
          <w:tab w:val="left" w:pos="472"/>
        </w:tabs>
        <w:spacing w:after="0" w:line="240" w:lineRule="auto"/>
        <w:ind w:left="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ab/>
      </w:r>
      <w:r w:rsidRPr="00C76F8D">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76F8D" w:rsidRPr="00C76F8D" w:rsidRDefault="00C76F8D" w:rsidP="00C76F8D">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76F8D">
        <w:rPr>
          <w:rFonts w:asciiTheme="majorBidi" w:hAnsiTheme="majorBidi" w:cstheme="majorBidi"/>
          <w:b/>
          <w:bCs/>
          <w:noProof/>
          <w:sz w:val="18"/>
          <w:szCs w:val="18"/>
          <w:rtl/>
          <w:lang w:eastAsia="ar-SA"/>
        </w:rPr>
        <w:t>(الموافقات في أصول الشريعة)</w:t>
      </w:r>
    </w:p>
    <w:p w:rsidR="00C76F8D" w:rsidRPr="00C76F8D" w:rsidRDefault="00C76F8D" w:rsidP="00C76F8D">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76F8D">
        <w:rPr>
          <w:rFonts w:asciiTheme="majorBidi" w:hAnsiTheme="majorBidi" w:cstheme="majorBidi"/>
          <w:b/>
          <w:bCs/>
          <w:noProof/>
          <w:sz w:val="18"/>
          <w:szCs w:val="18"/>
          <w:rtl/>
          <w:lang w:eastAsia="ar-SA"/>
        </w:rPr>
        <w:t>إبراهيم بن موسى الشاطبي، بيروت، دار الكتب العلمية، 1993م</w:t>
      </w:r>
    </w:p>
    <w:p w:rsidR="00C76F8D" w:rsidRPr="00C76F8D" w:rsidRDefault="00C76F8D" w:rsidP="00C76F8D">
      <w:pPr>
        <w:spacing w:after="0" w:line="240" w:lineRule="auto"/>
        <w:rPr>
          <w:rFonts w:asciiTheme="majorBidi" w:hAnsiTheme="majorBidi" w:cstheme="majorBidi"/>
          <w:b/>
          <w:bCs/>
          <w:sz w:val="18"/>
          <w:szCs w:val="18"/>
          <w:rtl/>
        </w:rPr>
      </w:pPr>
    </w:p>
    <w:p w:rsidR="00C76F8D" w:rsidRPr="00C76F8D" w:rsidRDefault="00C76F8D" w:rsidP="00C76F8D">
      <w:pPr>
        <w:spacing w:after="0" w:line="240" w:lineRule="auto"/>
        <w:rPr>
          <w:b/>
          <w:bCs/>
          <w:sz w:val="18"/>
          <w:szCs w:val="18"/>
          <w:rtl/>
        </w:rPr>
      </w:pPr>
    </w:p>
    <w:p w:rsidR="00C76F8D" w:rsidRPr="00C76F8D" w:rsidRDefault="00C76F8D" w:rsidP="00C76F8D">
      <w:pPr>
        <w:spacing w:after="0" w:line="240" w:lineRule="auto"/>
        <w:rPr>
          <w:b/>
          <w:bCs/>
          <w:sz w:val="18"/>
          <w:szCs w:val="18"/>
          <w:rtl/>
        </w:rPr>
      </w:pPr>
    </w:p>
    <w:p w:rsidR="00C76F8D" w:rsidRDefault="00C76F8D" w:rsidP="00C76F8D">
      <w:pPr>
        <w:spacing w:after="0"/>
        <w:jc w:val="center"/>
        <w:rPr>
          <w:rFonts w:asciiTheme="majorBidi" w:eastAsia="Calibri" w:hAnsiTheme="majorBidi" w:cstheme="majorBidi"/>
          <w:b/>
          <w:bCs/>
          <w:sz w:val="48"/>
          <w:szCs w:val="48"/>
          <w:rtl/>
        </w:rPr>
        <w:sectPr w:rsidR="00C76F8D" w:rsidSect="00C76F8D">
          <w:type w:val="continuous"/>
          <w:pgSz w:w="11906" w:h="16838"/>
          <w:pgMar w:top="851" w:right="566" w:bottom="426" w:left="993" w:header="708" w:footer="708" w:gutter="0"/>
          <w:cols w:num="2" w:space="708"/>
          <w:bidi/>
          <w:rtlGutter/>
          <w:docGrid w:linePitch="360"/>
        </w:sectPr>
      </w:pPr>
    </w:p>
    <w:p w:rsidR="00C76F8D" w:rsidRPr="00C76F8D" w:rsidRDefault="00C76F8D" w:rsidP="00C76F8D">
      <w:pPr>
        <w:spacing w:after="0"/>
        <w:jc w:val="center"/>
        <w:rPr>
          <w:rFonts w:asciiTheme="majorBidi" w:eastAsia="Calibri" w:hAnsiTheme="majorBidi" w:cstheme="majorBidi"/>
          <w:b/>
          <w:bCs/>
          <w:sz w:val="48"/>
          <w:szCs w:val="48"/>
        </w:rPr>
      </w:pPr>
    </w:p>
    <w:sectPr w:rsidR="00C76F8D" w:rsidRPr="00C76F8D" w:rsidSect="00C76F8D">
      <w:type w:val="continuous"/>
      <w:pgSz w:w="11906" w:h="16838"/>
      <w:pgMar w:top="851" w:right="566" w:bottom="426"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6F8D"/>
    <w:rsid w:val="004168A0"/>
    <w:rsid w:val="004219C3"/>
    <w:rsid w:val="008E1381"/>
    <w:rsid w:val="00B70619"/>
    <w:rsid w:val="00C76F8D"/>
    <w:rsid w:val="00DA2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6F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76F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786</Words>
  <Characters>4481</Characters>
  <Application>Microsoft Office Word</Application>
  <DocSecurity>0</DocSecurity>
  <Lines>37</Lines>
  <Paragraphs>10</Paragraphs>
  <ScaleCrop>false</ScaleCrop>
  <Company>Fannan</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2013-06-13T19:52:00Z</dcterms:created>
  <dcterms:modified xsi:type="dcterms:W3CDTF">2013-06-17T10:40:00Z</dcterms:modified>
</cp:coreProperties>
</file>