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BE" w:rsidRPr="00426F7E" w:rsidRDefault="001033BE" w:rsidP="001033BE">
      <w:pPr>
        <w:spacing w:after="0" w:line="240" w:lineRule="auto"/>
        <w:jc w:val="center"/>
        <w:rPr>
          <w:rFonts w:asciiTheme="majorBidi" w:eastAsia="Calibri" w:hAnsiTheme="majorBidi" w:cstheme="majorBidi"/>
          <w:color w:val="4F81BD"/>
          <w:sz w:val="18"/>
          <w:szCs w:val="18"/>
          <w:rtl/>
          <w:lang w:bidi="ar-EG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>
        <w:rPr>
          <w:rFonts w:asciiTheme="majorBidi" w:hAnsiTheme="majorBidi" w:cstheme="majorBidi" w:hint="cs"/>
          <w:sz w:val="18"/>
          <w:szCs w:val="18"/>
          <w:rtl/>
        </w:rPr>
        <w:t>أصول الفقه</w:t>
      </w:r>
    </w:p>
    <w:p w:rsidR="001033BE" w:rsidRPr="00426F7E" w:rsidRDefault="001033BE" w:rsidP="00106152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106152" w:rsidRPr="00106152">
        <w:rPr>
          <w:rFonts w:asciiTheme="majorBidi" w:hAnsiTheme="majorBidi" w:cstheme="majorBidi"/>
          <w:sz w:val="18"/>
          <w:szCs w:val="18"/>
          <w:rtl/>
          <w:lang w:bidi="ar-EG"/>
        </w:rPr>
        <w:t>أحمد عبد الحميد مهدي</w:t>
      </w:r>
    </w:p>
    <w:p w:rsidR="001033BE" w:rsidRPr="00426F7E" w:rsidRDefault="001033BE" w:rsidP="001033BE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1033BE" w:rsidRPr="00426F7E" w:rsidRDefault="001033BE" w:rsidP="001033BE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1033BE" w:rsidRPr="00426F7E" w:rsidRDefault="001033BE" w:rsidP="001033BE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1033BE" w:rsidRDefault="00106152" w:rsidP="00106152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106152">
        <w:rPr>
          <w:rFonts w:asciiTheme="majorBidi" w:hAnsiTheme="majorBidi" w:cstheme="majorBidi"/>
          <w:b/>
          <w:bCs/>
          <w:sz w:val="18"/>
          <w:szCs w:val="18"/>
          <w:lang w:bidi="ar-EG"/>
        </w:rPr>
        <w:t>ahmed.mahdey@mediu.ws</w:t>
      </w:r>
    </w:p>
    <w:p w:rsidR="001033BE" w:rsidRPr="00426F7E" w:rsidRDefault="001033BE" w:rsidP="001033BE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1033BE" w:rsidRDefault="001033BE" w:rsidP="001033BE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1033BE" w:rsidSect="001033BE">
          <w:pgSz w:w="11906" w:h="16838"/>
          <w:pgMar w:top="851" w:right="849" w:bottom="993" w:left="1134" w:header="708" w:footer="708" w:gutter="0"/>
          <w:cols w:space="708"/>
          <w:bidi/>
          <w:rtlGutter/>
          <w:docGrid w:linePitch="360"/>
        </w:sectPr>
      </w:pPr>
    </w:p>
    <w:p w:rsidR="001033BE" w:rsidRPr="001033BE" w:rsidRDefault="001033BE" w:rsidP="001033BE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hAnsiTheme="majorBidi" w:cstheme="majorBidi" w:hint="cs"/>
          <w:b/>
          <w:bCs/>
          <w:sz w:val="18"/>
          <w:szCs w:val="18"/>
          <w:rtl/>
        </w:rPr>
        <w:lastRenderedPageBreak/>
        <w:t>ا</w:t>
      </w:r>
      <w:r w:rsidRPr="001033B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لخلاصة – هذا البحث يبحث فى </w:t>
      </w:r>
      <w:r w:rsidRPr="001033BE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مفهوم "القياس"، وتعريفه لغة</w:t>
      </w:r>
    </w:p>
    <w:p w:rsidR="001033BE" w:rsidRPr="001033BE" w:rsidRDefault="001033BE" w:rsidP="001033BE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1033BE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الاصوليين، الرابع، النشريع</w:t>
      </w:r>
    </w:p>
    <w:p w:rsidR="001033BE" w:rsidRPr="001033BE" w:rsidRDefault="001033BE" w:rsidP="001033BE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1033BE" w:rsidRPr="001033BE" w:rsidRDefault="001033BE" w:rsidP="001033BE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1033BE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مفهوم "القياس"، وتعريفه لغة</w:t>
      </w:r>
    </w:p>
    <w:p w:rsidR="001033BE" w:rsidRPr="001033BE" w:rsidRDefault="001033BE" w:rsidP="001033BE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1033BE" w:rsidRPr="001033BE" w:rsidRDefault="001033BE" w:rsidP="001033BE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يُعدّ ا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لقياس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ُ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 xml:space="preserve"> عن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د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 xml:space="preserve"> الأصوليين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 xml:space="preserve"> هو 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المصدر الرابع من مصادر التشريع في الفقه الإسلامي بعد الكتاب والسُّنَّة والإجماع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، و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مبحث القياس من أهم المباحث الأصولية وأكثرها تعلقًا بواقع المكلفين، وهو المنهج الشرعي الأبرز والأحكم لمعرفة حكم الله فيما يستجد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ّ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 xml:space="preserve"> من نوازل وحوادث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لذلك فإن العناية به تأصيلًا وتطبيقًا متعينة، خاصة في هذا العصر الذي وجد فيه ومن أبناء جلدتنا من يشك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ّ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ك في شمول الشريعة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 xml:space="preserve"> وحاكميتها على أفعال المكلفين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 xml:space="preserve"> وصلاحيتها في بعض المجالات المعاصرة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ويراد به عن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د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 xml:space="preserve"> الأصوليين والفقهاء أحد معنيين: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ا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لمعنى الأول: القياس على القواعد الشرعية العامة للشريعة أو السنن الذي تسير عليه الشريعة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وهذا المعنى من القياس هو المقصود من المسألة المشهورة عند الفقهاء والأصوليين، ما جاء على خلاف القياس ويقصدون به هذا المعنى.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المعنى الثاني: القياس الأصولي أو الفقهي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 xml:space="preserve"> وهو المعنى الغالب عند الإطلاق.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ومن أجل اعتماد القياس على أصول شرعية؛ فإنه منهج شرعي ثابت، لا يصح أن تدخله الأهواء، ولا أن يحيد عن نصوص الشرع ومقاصده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  <w:lang w:bidi="ar-EG"/>
        </w:rPr>
        <w:t>والقياس يحقق شمول الشريعة وحكمها على الزمان والمكان بمتغيراتهما ونوازلهما المتجددة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 w:hint="cs"/>
          <w:b/>
          <w:bCs/>
          <w:sz w:val="18"/>
          <w:szCs w:val="18"/>
          <w:rtl/>
        </w:rPr>
        <w:t>2</w:t>
      </w:r>
      <w:r w:rsidRPr="001033BE">
        <w:rPr>
          <w:rFonts w:cs="Traditional Arabic" w:hint="cs"/>
          <w:b/>
          <w:bCs/>
          <w:sz w:val="18"/>
          <w:szCs w:val="18"/>
          <w:rtl/>
        </w:rPr>
        <w:t>.</w:t>
      </w:r>
      <w:r w:rsidRPr="001033BE">
        <w:rPr>
          <w:rFonts w:cs="AL-Hotham"/>
          <w:b/>
          <w:bCs/>
          <w:sz w:val="18"/>
          <w:szCs w:val="18"/>
          <w:rtl/>
        </w:rPr>
        <w:t xml:space="preserve"> </w:t>
      </w:r>
      <w:r w:rsidRPr="001033BE">
        <w:rPr>
          <w:rFonts w:cs="AL-Hotham" w:hint="cs"/>
          <w:b/>
          <w:bCs/>
          <w:sz w:val="18"/>
          <w:szCs w:val="18"/>
          <w:rtl/>
        </w:rPr>
        <w:t xml:space="preserve">أقسام </w:t>
      </w:r>
      <w:r w:rsidRPr="001033BE">
        <w:rPr>
          <w:rFonts w:cs="AL-Hotham"/>
          <w:b/>
          <w:bCs/>
          <w:sz w:val="18"/>
          <w:szCs w:val="18"/>
          <w:rtl/>
        </w:rPr>
        <w:t>دلالة اللفظ على الحكم الشرعي: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 w:hint="cs"/>
          <w:b/>
          <w:bCs/>
          <w:sz w:val="18"/>
          <w:szCs w:val="18"/>
          <w:rtl/>
        </w:rPr>
        <w:t>إ</w:t>
      </w:r>
      <w:r w:rsidRPr="001033BE">
        <w:rPr>
          <w:rFonts w:cs="AL-Hotham"/>
          <w:b/>
          <w:bCs/>
          <w:sz w:val="18"/>
          <w:szCs w:val="18"/>
          <w:rtl/>
        </w:rPr>
        <w:t xml:space="preserve">ن دلالة اللفظ على الحكم الشرعي تنقسم </w:t>
      </w:r>
      <w:r w:rsidRPr="001033BE">
        <w:rPr>
          <w:rFonts w:cs="AL-Hotham" w:hint="cs"/>
          <w:b/>
          <w:bCs/>
          <w:sz w:val="18"/>
          <w:szCs w:val="18"/>
          <w:rtl/>
        </w:rPr>
        <w:t xml:space="preserve">إلى </w:t>
      </w:r>
      <w:r w:rsidRPr="001033BE">
        <w:rPr>
          <w:rFonts w:cs="AL-Hotham"/>
          <w:b/>
          <w:bCs/>
          <w:sz w:val="18"/>
          <w:szCs w:val="18"/>
          <w:rtl/>
        </w:rPr>
        <w:t>ثلاثة أقسام: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1033BE">
        <w:rPr>
          <w:rFonts w:cs="AL-Hotham"/>
          <w:b/>
          <w:bCs/>
          <w:sz w:val="18"/>
          <w:szCs w:val="18"/>
          <w:rtl/>
        </w:rPr>
        <w:t>ا</w:t>
      </w:r>
      <w:r w:rsidRPr="001033BE">
        <w:rPr>
          <w:rFonts w:cs="AL-Hotham" w:hint="cs"/>
          <w:b/>
          <w:bCs/>
          <w:sz w:val="18"/>
          <w:szCs w:val="18"/>
          <w:rtl/>
        </w:rPr>
        <w:t>لقسم ا</w:t>
      </w:r>
      <w:r w:rsidRPr="001033BE">
        <w:rPr>
          <w:rFonts w:cs="AL-Hotham"/>
          <w:b/>
          <w:bCs/>
          <w:sz w:val="18"/>
          <w:szCs w:val="18"/>
          <w:rtl/>
        </w:rPr>
        <w:t xml:space="preserve">لأول: أن يدل اللفظ على الحكم بصيغته ومنظومه، </w:t>
      </w:r>
      <w:r w:rsidRPr="001033BE">
        <w:rPr>
          <w:rFonts w:cs="AL-Hotham" w:hint="cs"/>
          <w:b/>
          <w:bCs/>
          <w:sz w:val="18"/>
          <w:szCs w:val="18"/>
          <w:rtl/>
        </w:rPr>
        <w:t>و</w:t>
      </w:r>
      <w:r w:rsidRPr="001033BE">
        <w:rPr>
          <w:rFonts w:cs="AL-Hotham"/>
          <w:b/>
          <w:bCs/>
          <w:sz w:val="18"/>
          <w:szCs w:val="18"/>
          <w:rtl/>
        </w:rPr>
        <w:t>تكون دلالته بصريح صيغته ووضعه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 w:hint="cs"/>
          <w:b/>
          <w:bCs/>
          <w:sz w:val="18"/>
          <w:szCs w:val="18"/>
          <w:rtl/>
        </w:rPr>
        <w:t>وأنواعه هي</w:t>
      </w:r>
      <w:r w:rsidRPr="001033BE">
        <w:rPr>
          <w:rFonts w:cs="AL-Hotham"/>
          <w:b/>
          <w:bCs/>
          <w:sz w:val="18"/>
          <w:szCs w:val="18"/>
          <w:rtl/>
        </w:rPr>
        <w:t>: النص والظاهر، والمجمل والمبين، والأمر والنهي، والعام والخاص، والمطلق والمقيد.</w:t>
      </w:r>
      <w:r w:rsidRPr="001033BE">
        <w:rPr>
          <w:rFonts w:cs="AL-Hotham" w:hint="cs"/>
          <w:b/>
          <w:bCs/>
          <w:sz w:val="18"/>
          <w:szCs w:val="18"/>
          <w:rtl/>
        </w:rPr>
        <w:t xml:space="preserve">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</w:rPr>
        <w:t>القسم الثاني: أن يدل اللفظ على الحكم بفحواه ومفهومه، وهذا على خمسة أنواع؛ هي: دلالة الاقتضاء، ودلالة الإيماء، ودلالة التنبيه أو مفهوم الموافقة، ودليل الخطاب أو مفهوم المخالفة</w:t>
      </w:r>
      <w:r w:rsidRPr="001033BE">
        <w:rPr>
          <w:rFonts w:cs="AL-Hotham" w:hint="cs"/>
          <w:b/>
          <w:bCs/>
          <w:sz w:val="18"/>
          <w:szCs w:val="18"/>
          <w:rtl/>
        </w:rPr>
        <w:t>،</w:t>
      </w:r>
      <w:r w:rsidRPr="001033BE">
        <w:rPr>
          <w:rFonts w:cs="AL-Hotham"/>
          <w:b/>
          <w:bCs/>
          <w:sz w:val="18"/>
          <w:szCs w:val="18"/>
          <w:rtl/>
        </w:rPr>
        <w:t xml:space="preserve"> ودلالة الإشارة.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1033BE">
        <w:rPr>
          <w:rFonts w:cs="AL-Hotham"/>
          <w:b/>
          <w:bCs/>
          <w:sz w:val="18"/>
          <w:szCs w:val="18"/>
          <w:rtl/>
        </w:rPr>
        <w:t>القسم الثالث: أن يدل اللفظ على الحكم بمعناه ومعقول</w:t>
      </w:r>
      <w:r w:rsidRPr="001033BE">
        <w:rPr>
          <w:rFonts w:cs="AL-Hotham" w:hint="cs"/>
          <w:b/>
          <w:bCs/>
          <w:sz w:val="18"/>
          <w:szCs w:val="18"/>
          <w:rtl/>
        </w:rPr>
        <w:t>ه</w:t>
      </w:r>
      <w:r w:rsidRPr="001033BE">
        <w:rPr>
          <w:rFonts w:cs="AL-Hotham"/>
          <w:b/>
          <w:bCs/>
          <w:sz w:val="18"/>
          <w:szCs w:val="18"/>
          <w:rtl/>
        </w:rPr>
        <w:t>، وهذا هو القياس الذي سنت</w:t>
      </w:r>
      <w:r w:rsidRPr="001033BE">
        <w:rPr>
          <w:rFonts w:cs="AL-Hotham" w:hint="cs"/>
          <w:b/>
          <w:bCs/>
          <w:sz w:val="18"/>
          <w:szCs w:val="18"/>
          <w:rtl/>
        </w:rPr>
        <w:t xml:space="preserve">ناوله </w:t>
      </w:r>
      <w:r w:rsidRPr="001033BE">
        <w:rPr>
          <w:rFonts w:cs="AL-Hotham"/>
          <w:b/>
          <w:bCs/>
          <w:sz w:val="18"/>
          <w:szCs w:val="18"/>
          <w:rtl/>
        </w:rPr>
        <w:t>فيما بعد</w:t>
      </w:r>
      <w:r w:rsidRPr="001033BE">
        <w:rPr>
          <w:rFonts w:cs="AL-Hotham" w:hint="cs"/>
          <w:b/>
          <w:bCs/>
          <w:sz w:val="18"/>
          <w:szCs w:val="18"/>
          <w:rtl/>
        </w:rPr>
        <w:t xml:space="preserve">، </w:t>
      </w:r>
      <w:r w:rsidRPr="001033BE">
        <w:rPr>
          <w:rFonts w:cs="AL-Hotham"/>
          <w:b/>
          <w:bCs/>
          <w:sz w:val="18"/>
          <w:szCs w:val="18"/>
          <w:rtl/>
        </w:rPr>
        <w:t>إن شاء الله.</w:t>
      </w:r>
    </w:p>
    <w:p w:rsidR="001033BE" w:rsidRPr="001033BE" w:rsidRDefault="001033BE" w:rsidP="001033BE">
      <w:pPr>
        <w:pStyle w:val="a3"/>
        <w:bidi/>
        <w:spacing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 w:hint="cs"/>
          <w:b/>
          <w:bCs/>
          <w:sz w:val="18"/>
          <w:szCs w:val="18"/>
          <w:rtl/>
        </w:rPr>
        <w:t>3</w:t>
      </w:r>
      <w:r w:rsidRPr="001033BE">
        <w:rPr>
          <w:rFonts w:cs="Traditional Arabic" w:hint="cs"/>
          <w:b/>
          <w:bCs/>
          <w:sz w:val="18"/>
          <w:szCs w:val="18"/>
          <w:rtl/>
        </w:rPr>
        <w:t>.</w:t>
      </w:r>
      <w:r w:rsidRPr="001033BE">
        <w:rPr>
          <w:rFonts w:cs="AL-Hotham"/>
          <w:b/>
          <w:bCs/>
          <w:sz w:val="18"/>
          <w:szCs w:val="18"/>
          <w:rtl/>
        </w:rPr>
        <w:t xml:space="preserve"> </w:t>
      </w:r>
      <w:r w:rsidRPr="001033BE">
        <w:rPr>
          <w:rFonts w:cs="AL-Hotham" w:hint="cs"/>
          <w:b/>
          <w:bCs/>
          <w:sz w:val="18"/>
          <w:szCs w:val="18"/>
          <w:rtl/>
        </w:rPr>
        <w:t>إ</w:t>
      </w:r>
      <w:r w:rsidRPr="001033BE">
        <w:rPr>
          <w:rFonts w:cs="AL-Hotham"/>
          <w:b/>
          <w:bCs/>
          <w:sz w:val="18"/>
          <w:szCs w:val="18"/>
          <w:rtl/>
        </w:rPr>
        <w:t>طلاقات القياس في اللغة: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أ</w:t>
      </w:r>
      <w:r w:rsidRPr="001033BE">
        <w:rPr>
          <w:rFonts w:cs="Traditional Arabic" w:hint="cs"/>
          <w:b/>
          <w:bCs/>
          <w:sz w:val="18"/>
          <w:szCs w:val="18"/>
          <w:rtl/>
          <w:lang w:bidi="ar-EG"/>
        </w:rPr>
        <w:t>.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 xml:space="preserve"> 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تعريف القياس لغة: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هو: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مصدر قايس وقاس، يُقال: قايس يقايس قياسًا ومقايسة، وقاس الشيء يقيسه قياسًا، والأول قياس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ي,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والثاني سماعي ومصدره القياسي القيس، يقول ابن مالك </w:t>
      </w:r>
      <w:r w:rsidRPr="001033BE">
        <w:rPr>
          <w:rFonts w:cs="Traditional Arabic"/>
          <w:b/>
          <w:bCs/>
          <w:sz w:val="18"/>
          <w:szCs w:val="18"/>
          <w:rtl/>
          <w:lang w:bidi="ar-EG"/>
        </w:rPr>
        <w:t>-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رحمه الله</w:t>
      </w:r>
      <w:r w:rsidRPr="001033BE">
        <w:rPr>
          <w:rFonts w:cs="Traditional Arabic"/>
          <w:b/>
          <w:bCs/>
          <w:sz w:val="18"/>
          <w:szCs w:val="18"/>
          <w:rtl/>
          <w:lang w:bidi="ar-EG"/>
        </w:rPr>
        <w:t>-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في ألفيته:</w:t>
      </w:r>
      <w:r w:rsidRPr="001033BE">
        <w:rPr>
          <w:rFonts w:cs="AGA Furat Regular"/>
          <w:b/>
          <w:bCs/>
          <w:sz w:val="18"/>
          <w:szCs w:val="18"/>
          <w:rtl/>
        </w:rPr>
        <w:t xml:space="preserve"> </w:t>
      </w:r>
    </w:p>
    <w:tbl>
      <w:tblPr>
        <w:bidiVisual/>
        <w:tblW w:w="0" w:type="auto"/>
        <w:jc w:val="center"/>
        <w:tblLook w:val="01E0"/>
      </w:tblPr>
      <w:tblGrid>
        <w:gridCol w:w="2136"/>
        <w:gridCol w:w="575"/>
        <w:gridCol w:w="2112"/>
      </w:tblGrid>
      <w:tr w:rsidR="001033BE" w:rsidRPr="001033BE" w:rsidTr="007E385F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1033BE" w:rsidRPr="001033BE" w:rsidRDefault="001033BE" w:rsidP="001033BE">
            <w:pPr>
              <w:spacing w:after="0" w:line="240" w:lineRule="auto"/>
              <w:jc w:val="lowKashida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1033BE">
              <w:rPr>
                <w:rFonts w:cs="AGA Furat Regular"/>
                <w:b/>
                <w:bCs/>
                <w:sz w:val="18"/>
                <w:szCs w:val="18"/>
                <w:rtl/>
              </w:rPr>
              <w:t>لفاعل الفعال والمفاعل</w:t>
            </w:r>
            <w:r w:rsidRPr="001033BE">
              <w:rPr>
                <w:rFonts w:cs="AGA Furat Regular" w:hint="cs"/>
                <w:b/>
                <w:bCs/>
                <w:sz w:val="18"/>
                <w:szCs w:val="18"/>
                <w:rtl/>
              </w:rPr>
              <w:t>ه</w:t>
            </w:r>
            <w:r w:rsidRPr="001033BE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1033BE" w:rsidRPr="001033BE" w:rsidRDefault="001033BE" w:rsidP="001033BE">
            <w:pPr>
              <w:spacing w:after="0" w:line="240" w:lineRule="auto"/>
              <w:jc w:val="lowKashida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1033BE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1033BE" w:rsidRPr="001033BE" w:rsidRDefault="001033BE" w:rsidP="001033BE">
            <w:pPr>
              <w:spacing w:after="0" w:line="240" w:lineRule="auto"/>
              <w:jc w:val="lowKashida"/>
              <w:rPr>
                <w:rFonts w:cs="AGA Furat Regular"/>
                <w:b/>
                <w:bCs/>
                <w:sz w:val="18"/>
                <w:szCs w:val="18"/>
              </w:rPr>
            </w:pPr>
            <w:r w:rsidRPr="001033BE">
              <w:rPr>
                <w:rFonts w:cs="AGA Furat Regular"/>
                <w:b/>
                <w:bCs/>
                <w:sz w:val="18"/>
                <w:szCs w:val="18"/>
                <w:rtl/>
              </w:rPr>
              <w:t>وغير ما مر السماع عادله </w:t>
            </w:r>
            <w:r w:rsidRPr="001033BE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</w:rPr>
      </w:pPr>
      <w:r w:rsidRPr="001033BE">
        <w:rPr>
          <w:rFonts w:cs="AL-Hotham"/>
          <w:b/>
          <w:bCs/>
          <w:sz w:val="18"/>
          <w:szCs w:val="18"/>
          <w:rtl/>
        </w:rPr>
        <w:t>وقال أيضًا:</w:t>
      </w:r>
      <w:r w:rsidRPr="001033BE">
        <w:rPr>
          <w:rFonts w:cs="AGA Furat Regular"/>
          <w:b/>
          <w:bCs/>
          <w:sz w:val="18"/>
          <w:szCs w:val="18"/>
          <w:rtl/>
        </w:rPr>
        <w:t xml:space="preserve"> </w:t>
      </w:r>
    </w:p>
    <w:tbl>
      <w:tblPr>
        <w:bidiVisual/>
        <w:tblW w:w="0" w:type="auto"/>
        <w:jc w:val="center"/>
        <w:tblLook w:val="01E0"/>
      </w:tblPr>
      <w:tblGrid>
        <w:gridCol w:w="2133"/>
        <w:gridCol w:w="581"/>
        <w:gridCol w:w="2109"/>
      </w:tblGrid>
      <w:tr w:rsidR="001033BE" w:rsidRPr="001033BE" w:rsidTr="007E385F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1033BE" w:rsidRPr="001033BE" w:rsidRDefault="001033BE" w:rsidP="001033BE">
            <w:pPr>
              <w:spacing w:after="0" w:line="240" w:lineRule="auto"/>
              <w:jc w:val="lowKashida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1033BE">
              <w:rPr>
                <w:rFonts w:cs="AGA Furat Regular"/>
                <w:b/>
                <w:bCs/>
                <w:sz w:val="18"/>
                <w:szCs w:val="18"/>
                <w:rtl/>
              </w:rPr>
              <w:t>فعْل قياس مصدر المعدى</w:t>
            </w:r>
            <w:r w:rsidRPr="001033BE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1033BE" w:rsidRPr="001033BE" w:rsidRDefault="001033BE" w:rsidP="001033BE">
            <w:pPr>
              <w:spacing w:after="0" w:line="240" w:lineRule="auto"/>
              <w:jc w:val="lowKashida"/>
              <w:rPr>
                <w:rFonts w:cs="AL-Hotham"/>
                <w:b/>
                <w:bCs/>
                <w:sz w:val="18"/>
                <w:szCs w:val="18"/>
                <w:rtl/>
              </w:rPr>
            </w:pPr>
            <w:r w:rsidRPr="001033BE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1033BE" w:rsidRPr="001033BE" w:rsidRDefault="001033BE" w:rsidP="001033BE">
            <w:pPr>
              <w:spacing w:after="0" w:line="240" w:lineRule="auto"/>
              <w:jc w:val="lowKashida"/>
              <w:rPr>
                <w:rFonts w:cs="AGA Furat Regular"/>
                <w:b/>
                <w:bCs/>
                <w:sz w:val="18"/>
                <w:szCs w:val="18"/>
              </w:rPr>
            </w:pPr>
            <w:r w:rsidRPr="001033BE">
              <w:rPr>
                <w:rFonts w:cs="AGA Furat Regular"/>
                <w:b/>
                <w:bCs/>
                <w:sz w:val="18"/>
                <w:szCs w:val="18"/>
                <w:rtl/>
              </w:rPr>
              <w:t>من ذي ثلاثة كرد رد</w:t>
            </w:r>
            <w:r w:rsidRPr="001033BE">
              <w:rPr>
                <w:rFonts w:cs="AGA Furat Regular" w:hint="cs"/>
                <w:b/>
                <w:bCs/>
                <w:sz w:val="18"/>
                <w:szCs w:val="18"/>
                <w:rtl/>
              </w:rPr>
              <w:t>ا</w:t>
            </w:r>
            <w:r w:rsidRPr="001033BE">
              <w:rPr>
                <w:rFonts w:cs="AGA Furat Regular" w:hint="cs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والقياس واوي العين ويائيها، يُقال: قاس يقوس ويقيس قوسًا وقيسًا وقياسًا الشيء به وعليه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؛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إذا قدره على مثاله، وفيه لغة أخرى: قسته 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-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بضم القاف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-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أق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و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سه قوسًا وقياسًا.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وعلى ذلك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،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فمعنى القياس في اللغة يُطلق على تقدير الشيء بغيره، كأن يُقال: قست الثوب بالمتر، أي: قدرته به.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lastRenderedPageBreak/>
        <w:t>قال في (الصحا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ح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): قست الشيء بالشيء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؛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قدرته على مثاله، كما يطلق أيضًا على التسوية بين الشيئين، سواء كانت هذه التسوية حسية كقولك: قست النعل بالنعل، أي: ساويتها بها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،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أم معنوية، كأن يُقال: فلان لا يقاس بفلان، أي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: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لا يساوى به في الفضل والنبل</w:t>
      </w:r>
      <w:r w:rsidRPr="001033BE">
        <w:rPr>
          <w:rFonts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قال الزركشي في معناه لغة: إنه تقدير شيء على مثال ش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ي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ء آخر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,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وتسويته به.</w:t>
      </w:r>
    </w:p>
    <w:p w:rsidR="001033BE" w:rsidRPr="001033BE" w:rsidRDefault="001033BE" w:rsidP="001033BE">
      <w:pPr>
        <w:pStyle w:val="a3"/>
        <w:bidi/>
        <w:spacing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 w:hint="cs"/>
          <w:b/>
          <w:bCs/>
          <w:sz w:val="18"/>
          <w:szCs w:val="18"/>
          <w:rtl/>
        </w:rPr>
        <w:t>ب</w:t>
      </w:r>
      <w:r w:rsidRPr="001033BE">
        <w:rPr>
          <w:rFonts w:cs="Traditional Arabic" w:hint="cs"/>
          <w:b/>
          <w:bCs/>
          <w:sz w:val="18"/>
          <w:szCs w:val="18"/>
          <w:rtl/>
        </w:rPr>
        <w:t>.</w:t>
      </w:r>
      <w:r w:rsidRPr="001033BE">
        <w:rPr>
          <w:rFonts w:cs="AL-Hotham"/>
          <w:b/>
          <w:bCs/>
          <w:sz w:val="18"/>
          <w:szCs w:val="18"/>
          <w:rtl/>
        </w:rPr>
        <w:t xml:space="preserve"> </w:t>
      </w:r>
      <w:r w:rsidRPr="001033BE">
        <w:rPr>
          <w:rFonts w:cs="AL-Hotham" w:hint="cs"/>
          <w:b/>
          <w:bCs/>
          <w:sz w:val="18"/>
          <w:szCs w:val="18"/>
          <w:rtl/>
        </w:rPr>
        <w:t>ا</w:t>
      </w:r>
      <w:r w:rsidRPr="001033BE">
        <w:rPr>
          <w:rFonts w:cs="AL-Hotham"/>
          <w:b/>
          <w:bCs/>
          <w:sz w:val="18"/>
          <w:szCs w:val="18"/>
          <w:rtl/>
        </w:rPr>
        <w:t>خ</w:t>
      </w:r>
      <w:r w:rsidRPr="001033BE">
        <w:rPr>
          <w:rFonts w:cs="AL-Hotham" w:hint="cs"/>
          <w:b/>
          <w:bCs/>
          <w:sz w:val="18"/>
          <w:szCs w:val="18"/>
          <w:rtl/>
        </w:rPr>
        <w:t>ت</w:t>
      </w:r>
      <w:r w:rsidRPr="001033BE">
        <w:rPr>
          <w:rFonts w:cs="AL-Hotham"/>
          <w:b/>
          <w:bCs/>
          <w:sz w:val="18"/>
          <w:szCs w:val="18"/>
          <w:rtl/>
        </w:rPr>
        <w:t>لاف العلماء في إطلاقات القياس في اللغة: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اختلف العلماء في هذا الإطلاق: هل هو حقيقة فيهما معًا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؟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أم هو حقيقة في واحد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,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مجاز في الآخر؟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فمنهم من قال: إنه مشترك لفظ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ي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بين كل من المساواة والتقدير والمجموع بينهما؛ لأنه أطلق عليها، والأصل في الإطلاق الحقيقة.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ومنهم من قال: هو حقيقة في التقدير مجاز في المساواة؛ لأن الثاني لازم للأول، والأول </w:t>
      </w:r>
      <w:r w:rsidRPr="001033BE">
        <w:rPr>
          <w:rFonts w:cs="Traditional Arabic"/>
          <w:b/>
          <w:bCs/>
          <w:sz w:val="18"/>
          <w:szCs w:val="18"/>
          <w:rtl/>
          <w:lang w:bidi="ar-EG"/>
        </w:rPr>
        <w:t>-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وهو التقدير</w:t>
      </w:r>
      <w:r w:rsidRPr="001033BE">
        <w:rPr>
          <w:rFonts w:cs="Traditional Arabic"/>
          <w:b/>
          <w:bCs/>
          <w:sz w:val="18"/>
          <w:szCs w:val="18"/>
          <w:rtl/>
          <w:lang w:bidi="ar-EG"/>
        </w:rPr>
        <w:t>-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ملزوم، واستعمال الشيء في لازم معناه مجاز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ٌ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>، وهو استعمال شائع ومتعارف عليه بين العلماء.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وفريق ثالث قال: إنه مشترك معنوي بين الأمور الثلاثة المذكورة، وهي: التقدير والتسوية ومجموعهما.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وكونه مشتركًا معنويًّا باعتبار معنييه الأولين أو باعتبار معانيه الثلاثة هو المعقول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,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إذ كل من اشتراك اللفظ والمجاز خلاف الأصل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وذلك لأن الاشتراك اللفظي يحتاج إلى تعدد في الوضع والقرينة، والأصل عدم الاحتياج إلى ذلك، والمجاز يحتاج إلى قرينة عند استعمال اللفظ فيه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  <w:lang w:bidi="ar-EG"/>
        </w:rPr>
        <w:t>والأصل في الإطلاق الحقيقة وعدم الاحتياج إلى قرينة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,</w:t>
      </w:r>
      <w:r w:rsidRPr="001033BE">
        <w:rPr>
          <w:rFonts w:cs="AL-Hotham"/>
          <w:b/>
          <w:bCs/>
          <w:sz w:val="18"/>
          <w:szCs w:val="18"/>
          <w:rtl/>
          <w:lang w:bidi="ar-EG"/>
        </w:rPr>
        <w:t xml:space="preserve"> وحيث ثبت احتياجهما إلى ما ذكر فإن الاشتراك المعنوي متعين؛ لأنه لا يحتاج إلى قرينة، ولا يحتاج إلى تعدد في الوضع، وقد ارتضى هذا القول أكثر العلماء.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</w:rPr>
      </w:pPr>
      <w:r w:rsidRPr="001033BE">
        <w:rPr>
          <w:rFonts w:cs="AL-Hotham"/>
          <w:b/>
          <w:bCs/>
          <w:sz w:val="18"/>
          <w:szCs w:val="18"/>
          <w:rtl/>
        </w:rPr>
        <w:t>يقول (شارح الروضة) في كتابه (الإتحاف): القياس في اللغة يطلق على إطلاقين</w:t>
      </w:r>
      <w:r w:rsidRPr="001033BE">
        <w:rPr>
          <w:rFonts w:cs="AL-Hotham" w:hint="cs"/>
          <w:b/>
          <w:bCs/>
          <w:sz w:val="18"/>
          <w:szCs w:val="18"/>
          <w:rtl/>
        </w:rPr>
        <w:t>، هما: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</w:rPr>
        <w:t>الإطلاق الأول: ي</w:t>
      </w:r>
      <w:r w:rsidRPr="001033BE">
        <w:rPr>
          <w:rFonts w:cs="AL-Hotham" w:hint="cs"/>
          <w:b/>
          <w:bCs/>
          <w:sz w:val="18"/>
          <w:szCs w:val="18"/>
          <w:rtl/>
        </w:rPr>
        <w:t>ُ</w:t>
      </w:r>
      <w:r w:rsidRPr="001033BE">
        <w:rPr>
          <w:rFonts w:cs="AL-Hotham"/>
          <w:b/>
          <w:bCs/>
          <w:sz w:val="18"/>
          <w:szCs w:val="18"/>
          <w:rtl/>
        </w:rPr>
        <w:t xml:space="preserve">طلق القياس في اللغة على التقدير، ومعنى التقدير: أن يقصد معرفة قدر أحد الأمرين بالآخر، مثل قولهم: قست الثوب بالذراع أو بالمتر، أي: </w:t>
      </w:r>
      <w:r w:rsidRPr="001033BE">
        <w:rPr>
          <w:rFonts w:cs="AL-Hotham" w:hint="cs"/>
          <w:b/>
          <w:bCs/>
          <w:sz w:val="18"/>
          <w:szCs w:val="18"/>
          <w:rtl/>
        </w:rPr>
        <w:t>إ</w:t>
      </w:r>
      <w:r w:rsidRPr="001033BE">
        <w:rPr>
          <w:rFonts w:cs="AL-Hotham"/>
          <w:b/>
          <w:bCs/>
          <w:sz w:val="18"/>
          <w:szCs w:val="18"/>
          <w:rtl/>
        </w:rPr>
        <w:t>نني قدرت الثوب بالذراع أو بالمتر</w:t>
      </w:r>
      <w:r w:rsidRPr="001033BE">
        <w:rPr>
          <w:rFonts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1033BE">
        <w:rPr>
          <w:rFonts w:cs="AL-Hotham"/>
          <w:b/>
          <w:bCs/>
          <w:sz w:val="18"/>
          <w:szCs w:val="18"/>
          <w:rtl/>
        </w:rPr>
        <w:t>الإطلاق الثاني: ي</w:t>
      </w:r>
      <w:r w:rsidRPr="001033BE">
        <w:rPr>
          <w:rFonts w:cs="AL-Hotham" w:hint="cs"/>
          <w:b/>
          <w:bCs/>
          <w:sz w:val="18"/>
          <w:szCs w:val="18"/>
          <w:rtl/>
        </w:rPr>
        <w:t>ُ</w:t>
      </w:r>
      <w:r w:rsidRPr="001033BE">
        <w:rPr>
          <w:rFonts w:cs="AL-Hotham"/>
          <w:b/>
          <w:bCs/>
          <w:sz w:val="18"/>
          <w:szCs w:val="18"/>
          <w:rtl/>
        </w:rPr>
        <w:t>طلق القياس في اللغة على المساواة، سواء كانت هذه المساواة ح</w:t>
      </w:r>
      <w:r w:rsidRPr="001033BE">
        <w:rPr>
          <w:rFonts w:cs="AL-Hotham" w:hint="cs"/>
          <w:b/>
          <w:bCs/>
          <w:sz w:val="18"/>
          <w:szCs w:val="18"/>
          <w:rtl/>
        </w:rPr>
        <w:t>ِ</w:t>
      </w:r>
      <w:r w:rsidRPr="001033BE">
        <w:rPr>
          <w:rFonts w:cs="AL-Hotham"/>
          <w:b/>
          <w:bCs/>
          <w:sz w:val="18"/>
          <w:szCs w:val="18"/>
          <w:rtl/>
        </w:rPr>
        <w:t>سية، كقولهم: قست الثوب بالثوب</w:t>
      </w:r>
      <w:r w:rsidRPr="001033BE">
        <w:rPr>
          <w:rFonts w:cs="AL-Hotham" w:hint="cs"/>
          <w:b/>
          <w:bCs/>
          <w:sz w:val="18"/>
          <w:szCs w:val="18"/>
          <w:rtl/>
        </w:rPr>
        <w:t>؛</w:t>
      </w:r>
      <w:r w:rsidRPr="001033BE">
        <w:rPr>
          <w:rFonts w:cs="AL-Hotham"/>
          <w:b/>
          <w:bCs/>
          <w:sz w:val="18"/>
          <w:szCs w:val="18"/>
          <w:rtl/>
        </w:rPr>
        <w:t xml:space="preserve"> أي: حاذيته وساويته بالآخر، وكقولهم: قست البرتقالة بالبرتقالة، أي: قدّرتها بها</w:t>
      </w:r>
      <w:r w:rsidRPr="001033BE">
        <w:rPr>
          <w:rFonts w:cs="AL-Hotham" w:hint="cs"/>
          <w:b/>
          <w:bCs/>
          <w:sz w:val="18"/>
          <w:szCs w:val="18"/>
          <w:rtl/>
        </w:rPr>
        <w:t>.</w:t>
      </w:r>
      <w:r w:rsidRPr="001033BE">
        <w:rPr>
          <w:rFonts w:cs="AL-Hotham"/>
          <w:b/>
          <w:bCs/>
          <w:sz w:val="18"/>
          <w:szCs w:val="18"/>
          <w:rtl/>
        </w:rPr>
        <w:t xml:space="preserve"> وأيضًا لو كانت المساواة معنوية</w:t>
      </w:r>
      <w:r w:rsidRPr="001033BE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</w:rPr>
        <w:t>كقولهم: فلان يقاس بفلان، أي</w:t>
      </w:r>
      <w:r w:rsidRPr="001033BE">
        <w:rPr>
          <w:rFonts w:cs="AL-Hotham" w:hint="cs"/>
          <w:b/>
          <w:bCs/>
          <w:sz w:val="18"/>
          <w:szCs w:val="18"/>
          <w:rtl/>
        </w:rPr>
        <w:t>:</w:t>
      </w:r>
      <w:r w:rsidRPr="001033BE">
        <w:rPr>
          <w:rFonts w:cs="AL-Hotham"/>
          <w:b/>
          <w:bCs/>
          <w:sz w:val="18"/>
          <w:szCs w:val="18"/>
          <w:rtl/>
        </w:rPr>
        <w:t xml:space="preserve"> يساويه في الفضل والشرف والهمة، وقولهم: فلان لا يقاس بفلان، أي: لا يساويه.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</w:rPr>
        <w:t>وقد اختلف العلماء في هذين الإطلاقين في لفظ القياس: هل هو حقيقة في المعنيين معًا؟ أم هو حقيقة في أحدهما</w:t>
      </w:r>
      <w:r w:rsidRPr="001033BE">
        <w:rPr>
          <w:rFonts w:cs="AL-Hotham" w:hint="cs"/>
          <w:b/>
          <w:bCs/>
          <w:sz w:val="18"/>
          <w:szCs w:val="18"/>
          <w:rtl/>
        </w:rPr>
        <w:t>,</w:t>
      </w:r>
      <w:r w:rsidRPr="001033BE">
        <w:rPr>
          <w:rFonts w:cs="AL-Hotham"/>
          <w:b/>
          <w:bCs/>
          <w:sz w:val="18"/>
          <w:szCs w:val="18"/>
          <w:rtl/>
        </w:rPr>
        <w:t xml:space="preserve"> مجاز في الآخر؟</w:t>
      </w:r>
    </w:p>
    <w:p w:rsidR="001033BE" w:rsidRPr="001033BE" w:rsidRDefault="001033BE" w:rsidP="001033BE">
      <w:pPr>
        <w:pStyle w:val="a3"/>
        <w:bidi/>
        <w:spacing w:after="0" w:afterAutospacing="0"/>
        <w:jc w:val="lowKashida"/>
        <w:rPr>
          <w:rFonts w:cs="AL-Hotham"/>
          <w:b/>
          <w:bCs/>
          <w:sz w:val="18"/>
          <w:szCs w:val="18"/>
          <w:rtl/>
        </w:rPr>
      </w:pPr>
      <w:r w:rsidRPr="001033BE">
        <w:rPr>
          <w:rFonts w:cs="AL-Hotham"/>
          <w:b/>
          <w:bCs/>
          <w:sz w:val="18"/>
          <w:szCs w:val="18"/>
          <w:rtl/>
        </w:rPr>
        <w:t>اختلفوا على ثلاثة مذاهب</w:t>
      </w:r>
      <w:r w:rsidRPr="001033BE">
        <w:rPr>
          <w:rFonts w:cs="AL-Hotham" w:hint="cs"/>
          <w:b/>
          <w:bCs/>
          <w:sz w:val="18"/>
          <w:szCs w:val="18"/>
          <w:rtl/>
        </w:rPr>
        <w:t>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</w:rPr>
        <w:t>المذهب الأول: أن القياس حقيقة</w:t>
      </w:r>
      <w:r w:rsidRPr="001033BE">
        <w:rPr>
          <w:rFonts w:cs="AL-Hotham" w:hint="cs"/>
          <w:b/>
          <w:bCs/>
          <w:sz w:val="18"/>
          <w:szCs w:val="18"/>
          <w:rtl/>
        </w:rPr>
        <w:t>ٌ</w:t>
      </w:r>
      <w:r w:rsidRPr="001033BE">
        <w:rPr>
          <w:rFonts w:cs="AL-Hotham"/>
          <w:b/>
          <w:bCs/>
          <w:sz w:val="18"/>
          <w:szCs w:val="18"/>
          <w:rtl/>
        </w:rPr>
        <w:t xml:space="preserve"> في التقدير مجاز</w:t>
      </w:r>
      <w:r w:rsidRPr="001033BE">
        <w:rPr>
          <w:rFonts w:cs="AL-Hotham" w:hint="cs"/>
          <w:b/>
          <w:bCs/>
          <w:sz w:val="18"/>
          <w:szCs w:val="18"/>
          <w:rtl/>
        </w:rPr>
        <w:t>ٌ</w:t>
      </w:r>
      <w:r w:rsidRPr="001033BE">
        <w:rPr>
          <w:rFonts w:cs="AL-Hotham"/>
          <w:b/>
          <w:bCs/>
          <w:sz w:val="18"/>
          <w:szCs w:val="18"/>
          <w:rtl/>
        </w:rPr>
        <w:t xml:space="preserve"> في المساواة، واستدلوا على ذلك بأن المساواة لازم للتقدير، والتقدير ملزوم، فاستعمال القياس في المساواة على هذا القول مجاز لغوي من باب إطلاق الملزوم على اللازم.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</w:rPr>
        <w:t>المذهب الثاني: أن القياس في اللغة مشترك لفظي بين التقدير والمساواة والمجموع المركب منهما، واستدلوا على ذلك بأن اللفظ قد استعمل في المعاني الثلاثة، والأصل في الاستعمال الحقيقة</w:t>
      </w:r>
      <w:r w:rsidRPr="001033BE">
        <w:rPr>
          <w:rFonts w:cs="AL-Hotham" w:hint="cs"/>
          <w:b/>
          <w:bCs/>
          <w:sz w:val="18"/>
          <w:szCs w:val="18"/>
          <w:rtl/>
        </w:rPr>
        <w:t>.</w:t>
      </w:r>
      <w:r w:rsidRPr="001033BE">
        <w:rPr>
          <w:rFonts w:cs="AL-Hotham"/>
          <w:b/>
          <w:bCs/>
          <w:sz w:val="18"/>
          <w:szCs w:val="18"/>
          <w:rtl/>
        </w:rPr>
        <w:t xml:space="preserve">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cs="AL-Hotham"/>
          <w:b/>
          <w:bCs/>
          <w:sz w:val="18"/>
          <w:szCs w:val="18"/>
          <w:rtl/>
        </w:rPr>
        <w:t>المذهب الثالث: أن القياس في اللغة مشترك اشتراكًا معنويًّا بين التقدير والمساواة، أي</w:t>
      </w:r>
      <w:r w:rsidRPr="001033BE">
        <w:rPr>
          <w:rFonts w:cs="AL-Hotham" w:hint="cs"/>
          <w:b/>
          <w:bCs/>
          <w:sz w:val="18"/>
          <w:szCs w:val="18"/>
          <w:rtl/>
        </w:rPr>
        <w:t>:</w:t>
      </w:r>
      <w:r w:rsidRPr="001033BE">
        <w:rPr>
          <w:rFonts w:cs="AL-Hotham"/>
          <w:b/>
          <w:bCs/>
          <w:sz w:val="18"/>
          <w:szCs w:val="18"/>
          <w:rtl/>
        </w:rPr>
        <w:t xml:space="preserve"> </w:t>
      </w:r>
      <w:r w:rsidRPr="001033BE">
        <w:rPr>
          <w:rFonts w:cs="AL-Hotham" w:hint="cs"/>
          <w:b/>
          <w:bCs/>
          <w:sz w:val="18"/>
          <w:szCs w:val="18"/>
          <w:rtl/>
        </w:rPr>
        <w:t>إ</w:t>
      </w:r>
      <w:r w:rsidRPr="001033BE">
        <w:rPr>
          <w:rFonts w:cs="AL-Hotham"/>
          <w:b/>
          <w:bCs/>
          <w:sz w:val="18"/>
          <w:szCs w:val="18"/>
          <w:rtl/>
        </w:rPr>
        <w:t>نه حقيقة في التقدير، ويكون المطلوب به شيئين؛ معرفة مقدار الشيء والتسوية في</w:t>
      </w:r>
      <w:r w:rsidRPr="001033BE">
        <w:rPr>
          <w:rFonts w:cs="AL-Hotham" w:hint="cs"/>
          <w:b/>
          <w:bCs/>
          <w:sz w:val="18"/>
          <w:szCs w:val="18"/>
          <w:rtl/>
        </w:rPr>
        <w:t>ه</w:t>
      </w:r>
      <w:r w:rsidRPr="001033BE">
        <w:rPr>
          <w:rFonts w:cs="AL-Hotham"/>
          <w:b/>
          <w:bCs/>
          <w:sz w:val="18"/>
          <w:szCs w:val="18"/>
          <w:rtl/>
        </w:rPr>
        <w:t xml:space="preserve">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والخلاصة في معنى القياس في اللغة: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أن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ه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جاء في معالم اللغة من قاس الشيء يقيسه قيسًا وقياسًا واقتاسه وقيسه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؛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إذا قدره على مثاله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,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والمقياس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: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المقدار، وقاس الشيء يقوسه قوسًا لغة في قاسه يقيسه، ويُقال: قسته وقسته قوسًا وقياسًا، ولا يُقال: أقسته بالألف، والمقياس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: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ما قيس به، والقيس والقاس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: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القدر، والقياس مصدر قايس من المفاعلة لا مصدر قاس من الثلاثي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؛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وذلك لأن المساواة من الطرفين لا من طرف واحد، ومصدر الثاني: ق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َ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ي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ْ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س، يُقال: قاس يقيس قيسًا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،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lastRenderedPageBreak/>
        <w:t>فعلى هذا: يكون لكل من المصدرين المذكورين فعل يخص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ّ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ه، ويكون الأول فعله رباعي وهو قايس، والثاني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فعله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ثلاثي وهو قاس.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وفي (القاموس المحيط) للفيروزآبادي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و(لسان العرب) لابن منظور ما يدل على أن المصدرين المذكورين أصل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ٌ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لفعل واحد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وتنوعت آراء الأصوليين في حكاية معنى القياس لغة، فرأي ير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ى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أنه هو التقدير والمساواة والمجموع منهما، وعليه يكون لفظ القياس مشتركًا لفظيًّا بين هذه المعاني الثلاثة، أي: وضع لكل منها بوضع، فالقياس وُضع لكل من هذه المعاني بوضع؛ لأن تعريف المشترك اللفظي هو ما اتحد لفظه وتعدد معناه ووضعه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مثال المعنى الأول من الثلاثة: قست الثوب بال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ذ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راع، ومثال المعنى الثاني: فلان لا يقاس بفلان، أي: لا يساويه، ومثال المعنى الثالث: قست النعل بالنعل، أي: قدرته به فساواه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ورأي آخر ير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ى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أنه حقيقة في التقدير، مجاز لغوي في المساواة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؛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وذلك باعتبار أن التقدير يستدع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ي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شيئين، يضاف أحدهما إلى الآخر بالمساواة، فيكون تقدير الشيء مستلزمًا للمساواة، واستعمال لفظ الملزوم في لازمه شائع، وهذا ما ذهب إليه الإمام الآمدي في (الإحكام)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وعلاقة المجاز على هذا اللازمية والملزومية.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ورأي ثالث ير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ى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أنه حقيقة عُرفية، وعليه جر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ى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محب الدين بن عبد الشكور صاحب (مسلم الثبوت).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وهناك فريق آخر يرى أنه مشترك معنوي، وهو: ما اتحد لفظه ومعناه؛ بحيث يطلق لفظ القياس عل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ى معنيين: الأول: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استعلام القدر، أي: طلب معرفة مقدار الشيء، مثل: قست الثوب بالذراع، والمعنى الثاني: التسوية في مقدار الشيء، مثل: قست النعل بالنعل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4.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تعريف القياس اصطلاحًا: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ا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ختلف العلماء في معنى القياس اصطلاحًا،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ويرجع سبب الاختلاف إلى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اختلافهم في أن القياس: هل هو دليل شرعي نصبه الشارع لتُعرف الأحكام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سواء نظر فيه المجتهد أم لا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،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كالقرآن الكريم والس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ُّ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ن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َّ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ة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؟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أم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أ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نه عمل من أعمال المجتهد فلا يتحقق إلا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ب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ه؟ وهذا هو منشأ اختلاف العلماء في تعريفه اصطلاحًا.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يقول شارح (روضة الناظم) في كتابه (الإتحاف): هل يمكن تحديد القياس؟ وهل هو دليل مستقل أم هو من فعل المجتهد؟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هذه المسألة </w:t>
      </w:r>
      <w:r w:rsidRPr="001033BE">
        <w:rPr>
          <w:rFonts w:ascii="Tahoma" w:hAnsi="Tahoma" w:cs="Traditional Arabic"/>
          <w:b/>
          <w:bCs/>
          <w:sz w:val="18"/>
          <w:szCs w:val="18"/>
          <w:rtl/>
        </w:rPr>
        <w:t>-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وهي مسألة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 أن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القياس دليل أو فعل من أفعال المجتهد</w:t>
      </w:r>
      <w:r w:rsidRPr="001033BE">
        <w:rPr>
          <w:rFonts w:ascii="Tahoma" w:hAnsi="Tahoma" w:cs="Traditional Arabic"/>
          <w:b/>
          <w:bCs/>
          <w:sz w:val="18"/>
          <w:szCs w:val="18"/>
          <w:rtl/>
        </w:rPr>
        <w:t>-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مسألة خلافية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, حيث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اختلف العلماء على مذهبين: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المذهب الأول: أن القياس دليل شرعي مستقل كالكتاب والسُّنَّة، وضعه الشارع لمعرفة ح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ُ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كمه، سواء نظر فيه المجتهد أو لم ينظر، وليس فعلًا للمجتهد، وذهب إلى ذلك الإمام الآمدي، وابن الحاجب، والأنصاري، وغيرهم، واستدلوا على ذلك بأدلة منها: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1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 القياس دليل من الأدلة لأمور شأنها أن العلم بها يؤدي إلى العلم بشيء آخر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وليس فعل المجتهد كذلك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2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 القياس وضعه الشارع ليعرف عنه المجتهد حكم الله تعالى بواسطة النظر فيه؛ حيث إن دلالة القياس على الأحكام ذاتية وثابتة كالكتاب والسُّنَّة، سواء نظر المجتهد أو لم ينظر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فالقياس موجود كما أن الكتاب موجود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؛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سواء نظر فيه المجتهد أو لم ينظر.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المذهب الثاني: ير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ى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 القياس فعلٌ من أفعال المجتهد لا يتحقق إلا بوجوده، وهذا مذهب جمهور العلماء، ومنهم: ابن قدامة، والقاضي أبو بكر الباقلاني،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و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الغزال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ي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، وغيرهم، وهو المذهب الحق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وقد استدل أصحاب هذا المذهب على أنه من فعل المجتهد بأدلة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منها: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1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أن قول الله تعالى: </w:t>
      </w:r>
      <w:r w:rsidRPr="001033BE">
        <w:rPr>
          <w:rFonts w:ascii="Tahoma" w:hAnsi="Tahoma" w:cs="DecoType Thuluth"/>
          <w:b/>
          <w:bCs/>
          <w:sz w:val="18"/>
          <w:szCs w:val="18"/>
          <w:rtl/>
        </w:rPr>
        <w:t>{</w:t>
      </w:r>
      <w:r w:rsidRPr="001033BE">
        <w:rPr>
          <w:rFonts w:ascii="QCF_P545" w:hAnsi="QCF_P545" w:cs="QCF_P545"/>
          <w:b/>
          <w:bCs/>
          <w:sz w:val="18"/>
          <w:szCs w:val="18"/>
          <w:rtl/>
        </w:rPr>
        <w:t>ﯡ ﯢ ﯣ</w:t>
      </w:r>
      <w:r w:rsidRPr="001033BE">
        <w:rPr>
          <w:rFonts w:ascii="QCF_P545" w:hAnsi="QCF_P545" w:cs="DecoType Thuluth"/>
          <w:b/>
          <w:bCs/>
          <w:sz w:val="18"/>
          <w:szCs w:val="18"/>
          <w:rtl/>
        </w:rPr>
        <w:t>}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[الحشر: 2]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،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دليلٌ على أنه فعل من أفعال المجتهد، ووجه الدلالة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: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 الاعتبار هو الإلحاق بعد النظر بالأدلة، ولا شك أن الإلحاق بعد النظر هو من فعل المجتهد وليس موجودًا قبل ذلك.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</w:rPr>
        <w:t>2</w:t>
      </w: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  <w:lang w:bidi="ar-EG"/>
        </w:rPr>
        <w:t>.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 xml:space="preserve"> حديث معاذ </w:t>
      </w:r>
      <w:r w:rsidRPr="001033BE">
        <w:rPr>
          <w:rFonts w:ascii="Tahoma" w:hAnsi="Tahoma" w:cs="SC_ALYERMOOK"/>
          <w:b/>
          <w:bCs/>
          <w:spacing w:val="-4"/>
          <w:position w:val="-4"/>
          <w:sz w:val="18"/>
          <w:szCs w:val="18"/>
          <w:rtl/>
        </w:rPr>
        <w:t>&gt;</w:t>
      </w: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</w:rPr>
        <w:t xml:space="preserve">؛ 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 xml:space="preserve">حيث قال له النبي </w:t>
      </w:r>
      <w:r w:rsidRPr="001033BE">
        <w:rPr>
          <w:rFonts w:ascii="AGA Arabesque" w:hAnsi="AGA Arabesque" w:cs="Tahoma"/>
          <w:b/>
          <w:bCs/>
          <w:spacing w:val="-4"/>
          <w:position w:val="-4"/>
          <w:sz w:val="18"/>
          <w:szCs w:val="18"/>
        </w:rPr>
        <w:t>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 xml:space="preserve">: </w:t>
      </w: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</w:rPr>
        <w:t>"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>إن عرض لك قضاء فبِمَ تقضي؟ قال: بكتاب الله، قال: فإن لم تجد؟ قال: بس</w:t>
      </w: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</w:rPr>
        <w:t>ُ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 xml:space="preserve">نة رسول الله </w:t>
      </w:r>
      <w:r w:rsidRPr="001033BE">
        <w:rPr>
          <w:rFonts w:ascii="AGA Arabesque" w:hAnsi="AGA Arabesque" w:cs="Tahoma"/>
          <w:b/>
          <w:bCs/>
          <w:spacing w:val="-4"/>
          <w:position w:val="-4"/>
          <w:sz w:val="18"/>
          <w:szCs w:val="18"/>
        </w:rPr>
        <w:t>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 xml:space="preserve">. قال: فإن لم تجد؟ قال: </w:t>
      </w: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</w:rPr>
        <w:t>أ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>جتهد رأ</w:t>
      </w: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</w:rPr>
        <w:t>ي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>ي ولا آلُ</w:t>
      </w:r>
      <w:r w:rsidRPr="001033BE">
        <w:rPr>
          <w:rFonts w:ascii="Tahoma" w:hAnsi="Tahoma" w:cs="AL-Hotham" w:hint="cs"/>
          <w:b/>
          <w:bCs/>
          <w:spacing w:val="-4"/>
          <w:sz w:val="18"/>
          <w:szCs w:val="18"/>
          <w:rtl/>
        </w:rPr>
        <w:t>و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 xml:space="preserve"> </w:t>
      </w:r>
      <w:r w:rsidRPr="001033BE">
        <w:rPr>
          <w:rFonts w:ascii="Tahoma" w:hAnsi="Tahoma" w:cs="Traditional Arabic"/>
          <w:b/>
          <w:bCs/>
          <w:spacing w:val="-4"/>
          <w:sz w:val="18"/>
          <w:szCs w:val="18"/>
          <w:rtl/>
        </w:rPr>
        <w:t>-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>أي: لا أقصر</w:t>
      </w:r>
      <w:r w:rsidRPr="001033BE">
        <w:rPr>
          <w:rFonts w:ascii="Tahoma" w:hAnsi="Tahoma" w:cs="Traditional Arabic"/>
          <w:b/>
          <w:bCs/>
          <w:spacing w:val="-4"/>
          <w:sz w:val="18"/>
          <w:szCs w:val="18"/>
          <w:rtl/>
        </w:rPr>
        <w:t>-</w:t>
      </w:r>
      <w:r w:rsidRPr="001033BE">
        <w:rPr>
          <w:rFonts w:ascii="Tahoma" w:hAnsi="Tahoma" w:cs="AL-Hotham"/>
          <w:b/>
          <w:bCs/>
          <w:spacing w:val="-4"/>
          <w:sz w:val="18"/>
          <w:szCs w:val="18"/>
          <w:rtl/>
        </w:rPr>
        <w:t xml:space="preserve"> فضرب رسول الله </w:t>
      </w:r>
      <w:r w:rsidRPr="001033BE">
        <w:rPr>
          <w:rFonts w:ascii="AGA Arabesque" w:hAnsi="AGA Arabesque" w:cs="Tahoma"/>
          <w:b/>
          <w:bCs/>
          <w:spacing w:val="-4"/>
          <w:position w:val="-4"/>
          <w:sz w:val="18"/>
          <w:szCs w:val="18"/>
        </w:rPr>
        <w:t>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على صدر معاذ، وقال: الحمد الله الذي وفق رسول رسول الله لما يرضي الله ورسوله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"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و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وجه الأدلة أنه قال: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أ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جتهد رأيي، والقياس من الرأي، فالقياس إذ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ًا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يكون من فعل المجتهد.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lastRenderedPageBreak/>
        <w:t>3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كتاب عمر بن خطاب </w:t>
      </w:r>
      <w:r w:rsidRPr="001033BE">
        <w:rPr>
          <w:rFonts w:ascii="Tahoma" w:hAnsi="Tahoma" w:cs="SC_ALYERMOOK"/>
          <w:b/>
          <w:bCs/>
          <w:position w:val="-4"/>
          <w:sz w:val="18"/>
          <w:szCs w:val="18"/>
          <w:rtl/>
        </w:rPr>
        <w:t>&gt;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إلى أبي موسى الأشعري </w:t>
      </w:r>
      <w:r w:rsidRPr="001033BE">
        <w:rPr>
          <w:rFonts w:ascii="Tahoma" w:hAnsi="Tahoma" w:cs="SC_ALYERMOOK"/>
          <w:b/>
          <w:bCs/>
          <w:position w:val="-4"/>
          <w:sz w:val="18"/>
          <w:szCs w:val="18"/>
          <w:rtl/>
        </w:rPr>
        <w:t>&gt;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الذي جاء فيه: "الفهم الفهم فيما جاءك مما ليس في قرآن ولا سُنة، ثم قس الأمور عند ذلك"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و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وجه الدلالة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: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أن عمر </w:t>
      </w:r>
      <w:r w:rsidRPr="001033BE">
        <w:rPr>
          <w:rFonts w:ascii="Tahoma" w:hAnsi="Tahoma" w:cs="SC_ALYERMOOK"/>
          <w:b/>
          <w:bCs/>
          <w:position w:val="-4"/>
          <w:sz w:val="18"/>
          <w:szCs w:val="18"/>
          <w:rtl/>
        </w:rPr>
        <w:t>&gt;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قد أمر أبا موسى أن يُلحق ما ليس فيه نصٌّ بالأمور التي تشبهها مما هو منصوص عليه، وليس هذا الإلحاق إلا من قبيل فعل المجتهد.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4</w:t>
      </w:r>
      <w:r w:rsidRPr="001033BE">
        <w:rPr>
          <w:rFonts w:ascii="Tahoma" w:hAnsi="Tahoma" w:cs="AL-Hotham" w:hint="cs"/>
          <w:b/>
          <w:bCs/>
          <w:sz w:val="18"/>
          <w:szCs w:val="18"/>
          <w:rtl/>
          <w:lang w:bidi="ar-EG"/>
        </w:rPr>
        <w:t>.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أُثر عن الصحابة والتابعين تفريعات وقياسات على أصول ثبتت بالكتاب والسُّنَّة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و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الإجماع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؛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مما يدل على أن القياس من فعل المجتهد.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 w:hint="cs"/>
          <w:b/>
          <w:bCs/>
          <w:spacing w:val="-2"/>
          <w:sz w:val="18"/>
          <w:szCs w:val="18"/>
          <w:rtl/>
        </w:rPr>
        <w:t xml:space="preserve">وكل </w:t>
      </w:r>
      <w:r w:rsidRPr="001033BE">
        <w:rPr>
          <w:rFonts w:ascii="Tahoma" w:hAnsi="Tahoma" w:cs="AL-Hotham"/>
          <w:b/>
          <w:bCs/>
          <w:spacing w:val="-2"/>
          <w:sz w:val="18"/>
          <w:szCs w:val="18"/>
          <w:rtl/>
        </w:rPr>
        <w:t>هذ</w:t>
      </w:r>
      <w:r w:rsidRPr="001033BE">
        <w:rPr>
          <w:rFonts w:ascii="Tahoma" w:hAnsi="Tahoma" w:cs="AL-Hotham" w:hint="cs"/>
          <w:b/>
          <w:bCs/>
          <w:spacing w:val="-2"/>
          <w:sz w:val="18"/>
          <w:szCs w:val="18"/>
          <w:rtl/>
        </w:rPr>
        <w:t>ا</w:t>
      </w:r>
      <w:r w:rsidRPr="001033BE">
        <w:rPr>
          <w:rFonts w:ascii="Tahoma" w:hAnsi="Tahoma" w:cs="AL-Hotham"/>
          <w:b/>
          <w:bCs/>
          <w:spacing w:val="-2"/>
          <w:sz w:val="18"/>
          <w:szCs w:val="18"/>
          <w:rtl/>
        </w:rPr>
        <w:t xml:space="preserve"> </w:t>
      </w:r>
      <w:r w:rsidRPr="001033BE">
        <w:rPr>
          <w:rFonts w:ascii="Tahoma" w:hAnsi="Tahoma" w:cs="AL-Hotham" w:hint="cs"/>
          <w:b/>
          <w:bCs/>
          <w:spacing w:val="-2"/>
          <w:sz w:val="18"/>
          <w:szCs w:val="18"/>
          <w:rtl/>
        </w:rPr>
        <w:t xml:space="preserve">من </w:t>
      </w:r>
      <w:r w:rsidRPr="001033BE">
        <w:rPr>
          <w:rFonts w:ascii="Tahoma" w:hAnsi="Tahoma" w:cs="AL-Hotham"/>
          <w:b/>
          <w:bCs/>
          <w:spacing w:val="-2"/>
          <w:sz w:val="18"/>
          <w:szCs w:val="18"/>
          <w:rtl/>
        </w:rPr>
        <w:t>أدلة القائلين بأن القياس عمل من أعمال المجتهد، فهل</w:t>
      </w:r>
      <w:r w:rsidRPr="001033BE">
        <w:rPr>
          <w:rFonts w:ascii="Tahoma" w:hAnsi="Tahoma" w:cs="AL-Hotham" w:hint="cs"/>
          <w:b/>
          <w:bCs/>
          <w:spacing w:val="-2"/>
          <w:sz w:val="18"/>
          <w:szCs w:val="18"/>
          <w:rtl/>
        </w:rPr>
        <w:t xml:space="preserve"> هناك </w:t>
      </w:r>
      <w:r w:rsidRPr="001033BE">
        <w:rPr>
          <w:rFonts w:ascii="Tahoma" w:hAnsi="Tahoma" w:cs="AL-Hotham"/>
          <w:b/>
          <w:bCs/>
          <w:spacing w:val="-2"/>
          <w:sz w:val="18"/>
          <w:szCs w:val="18"/>
          <w:rtl/>
        </w:rPr>
        <w:t>ثمرة</w:t>
      </w:r>
      <w:r w:rsidRPr="001033BE">
        <w:rPr>
          <w:rFonts w:ascii="Tahoma" w:hAnsi="Tahoma" w:cs="AL-Hotham" w:hint="cs"/>
          <w:b/>
          <w:bCs/>
          <w:spacing w:val="-2"/>
          <w:sz w:val="18"/>
          <w:szCs w:val="18"/>
          <w:rtl/>
        </w:rPr>
        <w:t xml:space="preserve"> ل</w:t>
      </w:r>
      <w:r w:rsidRPr="001033BE">
        <w:rPr>
          <w:rFonts w:ascii="Tahoma" w:hAnsi="Tahoma" w:cs="AL-Hotham"/>
          <w:b/>
          <w:bCs/>
          <w:spacing w:val="-2"/>
          <w:sz w:val="18"/>
          <w:szCs w:val="18"/>
          <w:rtl/>
        </w:rPr>
        <w:t xml:space="preserve">هذا الخلاف؟ أم </w:t>
      </w:r>
      <w:r w:rsidRPr="001033BE">
        <w:rPr>
          <w:rFonts w:ascii="Tahoma" w:hAnsi="Tahoma" w:cs="AL-Hotham" w:hint="cs"/>
          <w:b/>
          <w:bCs/>
          <w:spacing w:val="-2"/>
          <w:sz w:val="18"/>
          <w:szCs w:val="18"/>
          <w:rtl/>
        </w:rPr>
        <w:t>أ</w:t>
      </w:r>
      <w:r w:rsidRPr="001033BE">
        <w:rPr>
          <w:rFonts w:ascii="Tahoma" w:hAnsi="Tahoma" w:cs="AL-Hotham"/>
          <w:b/>
          <w:bCs/>
          <w:spacing w:val="-2"/>
          <w:sz w:val="18"/>
          <w:szCs w:val="18"/>
          <w:rtl/>
        </w:rPr>
        <w:t>نه خلاف لفظي؟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إن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َّ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اختلاف العلماء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 xml:space="preserve">هذا 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له ثمر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اته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؛ حيث اختلفت عبارات الأصوليين في تعريفات القياس بناء على ذلك الاختلاف.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فمن أخذ بالمذهب الأول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وهو أن القياس دليل مستقل كالكتاب والسُّنَّة عبّر عن القياس بأنه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: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استواء أو مساواة أو ما يقرب من ذلك، والمساواة صفة قائمة للمنتسبين </w:t>
      </w:r>
      <w:r w:rsidRPr="001033BE">
        <w:rPr>
          <w:rFonts w:ascii="Tahoma" w:hAnsi="Tahoma" w:cs="Traditional Arabic"/>
          <w:b/>
          <w:bCs/>
          <w:sz w:val="18"/>
          <w:szCs w:val="18"/>
          <w:rtl/>
        </w:rPr>
        <w:t>-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للأصل والفرع</w:t>
      </w:r>
      <w:r w:rsidRPr="001033BE">
        <w:rPr>
          <w:rFonts w:ascii="Tahoma" w:hAnsi="Tahoma" w:cs="Traditional Arabic"/>
          <w:b/>
          <w:bCs/>
          <w:sz w:val="18"/>
          <w:szCs w:val="18"/>
          <w:rtl/>
        </w:rPr>
        <w:t>-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مما يعطينا علمًا بأن القياس ليس فعلًا للمجتهد، وكأن مجرد عمل المجتهد إظهار حكم ما لم ينص عليه بطريق القياس بمساواته فيما نص عليه؛ لاشتراكهما في علة الأصل. 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ascii="Tahoma" w:hAnsi="Tahoma" w:cs="AL-Hotham"/>
          <w:b/>
          <w:bCs/>
          <w:sz w:val="18"/>
          <w:szCs w:val="18"/>
          <w:rtl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ومن أخذ بالمذهب الثاني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وهو أن القياس من فعل المجتهد عبّر عن القياس بأنه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: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حمل أو إثبات أو تعديه أو رد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ّ,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أو نحو ذلك مما يفيد بأن القياس من فعل المجتهد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وليس دليلًا مستقل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ًّ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ا.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1033BE">
        <w:rPr>
          <w:rFonts w:ascii="Tahoma" w:hAnsi="Tahoma" w:cs="AL-Hotham"/>
          <w:b/>
          <w:bCs/>
          <w:sz w:val="18"/>
          <w:szCs w:val="18"/>
          <w:rtl/>
        </w:rPr>
        <w:t>وبعد هذين الرأيين وأدلة كل فريق فيما ذهب إليه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,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نخلص إلى أن الرأي المقبول هو الثاني، وهو أن القياس فعل من أفعال 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ا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لمجتهد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؛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لما تقدم من ال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ح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>ج</w:t>
      </w:r>
      <w:r w:rsidRPr="001033BE">
        <w:rPr>
          <w:rFonts w:ascii="Tahoma" w:hAnsi="Tahoma" w:cs="AL-Hotham" w:hint="cs"/>
          <w:b/>
          <w:bCs/>
          <w:sz w:val="18"/>
          <w:szCs w:val="18"/>
          <w:rtl/>
        </w:rPr>
        <w:t>ج</w:t>
      </w:r>
      <w:r w:rsidRPr="001033BE">
        <w:rPr>
          <w:rFonts w:ascii="Tahoma" w:hAnsi="Tahoma" w:cs="AL-Hotham"/>
          <w:b/>
          <w:bCs/>
          <w:sz w:val="18"/>
          <w:szCs w:val="18"/>
          <w:rtl/>
        </w:rPr>
        <w:t xml:space="preserve"> التي سقناها، ولأن النظر في الأدلة التي نصبها الشارع مطلوب لمعرفة الأحكام، والذي يتعلق به النظر إنما هو الأمر المشترك.</w:t>
      </w:r>
    </w:p>
    <w:p w:rsidR="001033BE" w:rsidRPr="001033BE" w:rsidRDefault="001033BE" w:rsidP="001033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hAnsiTheme="majorBidi" w:cstheme="majorBidi"/>
          <w:b/>
          <w:bCs/>
          <w:sz w:val="18"/>
          <w:szCs w:val="18"/>
          <w:rtl/>
        </w:rPr>
        <w:t>المراجع والمصادر: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(إتحاف ذوي البصائر شرح روضة الناظر)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ind w:left="360" w:firstLine="207"/>
        <w:jc w:val="lowKashida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عبد الكريم النملة، الرياض، دار العاصمة، 1996م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(التلويح على التوضيح)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ind w:left="567"/>
        <w:jc w:val="lowKashida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1033B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سعد الدين التفتازاني، ضبط وتخريج: زكريا عميرات، بيروت، دار الكتب العلمية، 1996م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(الإحكام في أصول الأحكام)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سيف الدين الآمدي، بيروت، دار الكتب العلمية، 1990م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(الإِبهاج في شرح المنهاج للبيضاوي)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السبكي علي بن عبد الكافي، تحقيق: شعبان محمد، القاهرة، مكتبة الكليات الأزهرية، 2000م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(أصول السَّرخسي)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السَّرخسي محمد بن أحمد بن أبي سهل، عالم الكتب، 1986م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(البرهان في أصول الفقه)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72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عبد الملك بن عبد الله بن يوسف الجويني، تحقيق: عبد العظيم الديب، دار الوفاء، 1989م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(سلّم الوصول في شرح نهاية السّول) مطبوع مع (نهاية السّول)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بخيت المطيعي، عالم الكتب، 1994م.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(شرح اللّمع)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أبو إسحاق إبراهيم بن علي بن يوسف الفيروزآبادي الشيرازي، بيروت، دار الغرب الإسلامي، 1998م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(قواطع الأدلة في الأصول)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منصور بن السمعاني، بيروت، دار الكتب العلمية، 1997م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(كشف الأسرار عن أصول فخر الإسلام للبزدوي)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عبد العزيز البخاري، بيروت، دار الكتب العلمية، 1997م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(نفائس الوصول في شرح المحصول)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أبو العباس أحمد بن إدريس القرافي، مكتبة نزار مصطفى الباز، 1997م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(شرح الكوكب المنير)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بن أحمد بن عبد العزيز بن النجار، مكتبة العبيكان، 1997م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(إرشاد الفحول إلى تحقيق الحق في علم الأصول)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بن علي الشوكاني، دار الكتب العلمية، 1999م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(أصول الفقه الإسلامي)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زكيّ الدين شعبان، مؤسسة علي الصباح للنشر، 1988م</w:t>
      </w:r>
    </w:p>
    <w:p w:rsidR="001033BE" w:rsidRPr="001033BE" w:rsidRDefault="001033BE" w:rsidP="001033BE">
      <w:pPr>
        <w:numPr>
          <w:ilvl w:val="0"/>
          <w:numId w:val="1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(الوجيز في أصول الفقه)</w:t>
      </w:r>
    </w:p>
    <w:p w:rsidR="001033BE" w:rsidRPr="001033BE" w:rsidRDefault="001033BE" w:rsidP="001033BE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عبد الكريم زيدان، مؤسسة الرسالة للطباعة والنشر والتوزيع، 1994م</w:t>
      </w:r>
    </w:p>
    <w:p w:rsidR="001033BE" w:rsidRPr="001033BE" w:rsidRDefault="001033BE" w:rsidP="001033BE">
      <w:pPr>
        <w:pStyle w:val="a3"/>
        <w:numPr>
          <w:ilvl w:val="0"/>
          <w:numId w:val="1"/>
        </w:numPr>
        <w:tabs>
          <w:tab w:val="left" w:pos="1042"/>
        </w:tabs>
        <w:bidi/>
        <w:spacing w:before="0" w:beforeAutospacing="0" w:after="0" w:afterAutospacing="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(الموافقات في أصول الشريعة)</w:t>
      </w:r>
    </w:p>
    <w:p w:rsidR="001033BE" w:rsidRPr="001033BE" w:rsidRDefault="001033BE" w:rsidP="001033BE">
      <w:pPr>
        <w:pStyle w:val="a3"/>
        <w:bidi/>
        <w:spacing w:before="0" w:beforeAutospacing="0" w:after="0" w:afterAutospacing="0"/>
        <w:ind w:left="360" w:firstLine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1033BE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إبراهيم بن موسى الشاطبي، بيروت، دار الكتب العلمية، 1993م</w:t>
      </w:r>
    </w:p>
    <w:p w:rsidR="001033BE" w:rsidRDefault="001033BE" w:rsidP="001033BE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  <w:lang w:bidi="ar-EG"/>
        </w:rPr>
        <w:sectPr w:rsidR="001033BE" w:rsidSect="001033BE">
          <w:type w:val="continuous"/>
          <w:pgSz w:w="11906" w:h="16838"/>
          <w:pgMar w:top="851" w:right="849" w:bottom="993" w:left="1134" w:header="708" w:footer="708" w:gutter="0"/>
          <w:cols w:num="2" w:space="708"/>
          <w:bidi/>
          <w:rtlGutter/>
          <w:docGrid w:linePitch="360"/>
        </w:sectPr>
      </w:pPr>
    </w:p>
    <w:p w:rsidR="001033BE" w:rsidRPr="001033BE" w:rsidRDefault="001033BE" w:rsidP="001033BE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8"/>
          <w:szCs w:val="48"/>
          <w:lang w:bidi="ar-EG"/>
        </w:rPr>
      </w:pPr>
    </w:p>
    <w:sectPr w:rsidR="001033BE" w:rsidRPr="001033BE" w:rsidSect="001033BE">
      <w:type w:val="continuous"/>
      <w:pgSz w:w="11906" w:h="16838"/>
      <w:pgMar w:top="851" w:right="849" w:bottom="993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54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6BAF699C"/>
    <w:multiLevelType w:val="hybridMultilevel"/>
    <w:tmpl w:val="B1EC29F0"/>
    <w:lvl w:ilvl="0" w:tplc="957AD2C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33BE"/>
    <w:rsid w:val="001033BE"/>
    <w:rsid w:val="00106152"/>
    <w:rsid w:val="004168A0"/>
    <w:rsid w:val="004219C3"/>
    <w:rsid w:val="006A21BA"/>
    <w:rsid w:val="008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033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1727</Words>
  <Characters>9844</Characters>
  <Application>Microsoft Office Word</Application>
  <DocSecurity>0</DocSecurity>
  <Lines>82</Lines>
  <Paragraphs>23</Paragraphs>
  <ScaleCrop>false</ScaleCrop>
  <Company>Fannan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2</cp:revision>
  <dcterms:created xsi:type="dcterms:W3CDTF">2013-06-13T18:47:00Z</dcterms:created>
  <dcterms:modified xsi:type="dcterms:W3CDTF">2013-06-17T10:28:00Z</dcterms:modified>
</cp:coreProperties>
</file>