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C4" w:rsidRPr="002A69E8" w:rsidRDefault="009B09BF" w:rsidP="002A69E8">
      <w:pPr>
        <w:spacing w:line="240" w:lineRule="auto"/>
        <w:jc w:val="center"/>
        <w:rPr>
          <w:i/>
          <w:iCs/>
          <w:rtl/>
        </w:rPr>
      </w:pPr>
      <w:r w:rsidRPr="009B09BF">
        <w:rPr>
          <w:rFonts w:ascii="Calibri" w:eastAsia="Calibri" w:hAnsi="Calibri" w:cs="AL-Hotham"/>
          <w:i/>
          <w:iCs/>
          <w:sz w:val="48"/>
          <w:szCs w:val="48"/>
          <w:rtl/>
        </w:rPr>
        <w:t>الاستعارة في القرآن والسنة</w:t>
      </w:r>
      <w:r w:rsidR="002A69E8">
        <w:rPr>
          <w:rFonts w:hint="cs"/>
          <w:i/>
          <w:iCs/>
          <w:rtl/>
        </w:rPr>
        <w:t xml:space="preserve"> </w:t>
      </w:r>
      <w:r w:rsidR="00A166C4" w:rsidRPr="00A166C4">
        <w:rPr>
          <w:rFonts w:cs="AL-Hotham" w:hint="cs"/>
          <w:i/>
          <w:iCs/>
          <w:sz w:val="48"/>
          <w:szCs w:val="48"/>
          <w:rtl/>
        </w:rPr>
        <w:t>(1)</w:t>
      </w:r>
    </w:p>
    <w:p w:rsidR="009B09BF" w:rsidRPr="00E87483" w:rsidRDefault="009B09BF" w:rsidP="00A166C4">
      <w:pPr>
        <w:spacing w:line="240" w:lineRule="auto"/>
        <w:jc w:val="center"/>
        <w:rPr>
          <w:rFonts w:asciiTheme="majorBidi" w:hAnsiTheme="majorBidi" w:cs="AL-Hotham"/>
          <w:i/>
          <w:iCs/>
          <w:sz w:val="28"/>
          <w:szCs w:val="28"/>
          <w:rtl/>
        </w:rPr>
      </w:pPr>
      <w:r w:rsidRPr="00E87483">
        <w:rPr>
          <w:rFonts w:asciiTheme="majorBidi" w:hAnsiTheme="majorBidi" w:cs="AL-Hotham"/>
          <w:i/>
          <w:iCs/>
          <w:sz w:val="28"/>
          <w:szCs w:val="28"/>
          <w:rtl/>
        </w:rPr>
        <w:t xml:space="preserve">بحث  فى </w:t>
      </w:r>
      <w:r w:rsidRPr="00E87483">
        <w:rPr>
          <w:rFonts w:asciiTheme="majorBidi" w:hAnsiTheme="majorBidi" w:cs="AL-Hotham" w:hint="cs"/>
          <w:i/>
          <w:iCs/>
          <w:sz w:val="28"/>
          <w:szCs w:val="28"/>
          <w:rtl/>
        </w:rPr>
        <w:t>دراسات بلاغيه</w:t>
      </w:r>
    </w:p>
    <w:p w:rsidR="009B09BF" w:rsidRPr="00E87483" w:rsidRDefault="009B09BF" w:rsidP="00E31726">
      <w:pPr>
        <w:spacing w:line="240" w:lineRule="auto"/>
        <w:jc w:val="center"/>
        <w:rPr>
          <w:rFonts w:asciiTheme="majorBidi" w:hAnsiTheme="majorBidi" w:cs="AL-Hotham"/>
          <w:lang w:bidi="ar-EG"/>
        </w:rPr>
      </w:pPr>
      <w:r w:rsidRPr="00E87483">
        <w:rPr>
          <w:rFonts w:asciiTheme="majorBidi" w:hAnsiTheme="majorBidi" w:cs="AL-Hotham"/>
          <w:rtl/>
        </w:rPr>
        <w:t xml:space="preserve">إعداد أ/ </w:t>
      </w:r>
      <w:r w:rsidR="00E31726" w:rsidRPr="00E31726">
        <w:rPr>
          <w:rFonts w:asciiTheme="majorBidi" w:hAnsiTheme="majorBidi" w:cs="AL-Hotham"/>
          <w:rtl/>
          <w:lang w:bidi="ar-EG"/>
        </w:rPr>
        <w:t>أحمد عبد الحميد مهدي</w:t>
      </w:r>
    </w:p>
    <w:p w:rsidR="009B09BF" w:rsidRPr="00E87483" w:rsidRDefault="009B09BF" w:rsidP="009B09BF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قسم اللغة العربية</w:t>
      </w:r>
    </w:p>
    <w:p w:rsidR="009B09BF" w:rsidRPr="00E87483" w:rsidRDefault="009B09BF" w:rsidP="009B09BF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كلية اللغات – جامعة المدينة العالمية</w:t>
      </w:r>
    </w:p>
    <w:p w:rsidR="009B09BF" w:rsidRPr="00E87483" w:rsidRDefault="009B09BF" w:rsidP="009B09BF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  <w:rtl/>
        </w:rPr>
      </w:pPr>
      <w:r w:rsidRPr="00E87483">
        <w:rPr>
          <w:rFonts w:asciiTheme="majorBidi" w:hAnsiTheme="majorBidi" w:cs="AL-Hotham"/>
          <w:i/>
          <w:iCs/>
          <w:sz w:val="20"/>
          <w:szCs w:val="20"/>
          <w:rtl/>
        </w:rPr>
        <w:t>شاه علم – ماليزيا</w:t>
      </w:r>
    </w:p>
    <w:p w:rsidR="009B09BF" w:rsidRPr="00E87483" w:rsidRDefault="00E31726" w:rsidP="009B09BF">
      <w:pPr>
        <w:spacing w:line="240" w:lineRule="auto"/>
        <w:jc w:val="center"/>
        <w:rPr>
          <w:rFonts w:asciiTheme="majorBidi" w:hAnsiTheme="majorBidi" w:cs="AL-Hotham"/>
          <w:i/>
          <w:iCs/>
          <w:sz w:val="20"/>
          <w:szCs w:val="20"/>
        </w:rPr>
      </w:pPr>
      <w:r w:rsidRPr="00E31726">
        <w:rPr>
          <w:rFonts w:asciiTheme="majorBidi" w:hAnsiTheme="majorBidi" w:cs="AL-Hotham"/>
          <w:i/>
          <w:iCs/>
          <w:sz w:val="20"/>
          <w:szCs w:val="20"/>
          <w:lang w:bidi="ar-EG"/>
        </w:rPr>
        <w:t>ahmed.mahdey@mediu.ws</w:t>
      </w:r>
    </w:p>
    <w:p w:rsidR="009B09BF" w:rsidRDefault="009B09BF" w:rsidP="009B09BF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  <w:sectPr w:rsidR="009B09BF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9B09BF" w:rsidRPr="009B09BF" w:rsidRDefault="009B09BF" w:rsidP="009B09BF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</w:rPr>
        <w:lastRenderedPageBreak/>
        <w:t>خلاصة</w:t>
      </w:r>
      <w:r w:rsidRPr="009B09BF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ـــ</w:t>
      </w:r>
      <w:r w:rsidRPr="009B09BF">
        <w:rPr>
          <w:rFonts w:asciiTheme="majorBidi" w:hAnsiTheme="majorBidi" w:cs="AL-Hotham"/>
          <w:b/>
          <w:bCs/>
          <w:sz w:val="20"/>
          <w:szCs w:val="20"/>
          <w:rtl/>
        </w:rPr>
        <w:t xml:space="preserve"> هذا البحث يبحث في </w:t>
      </w:r>
      <w:r w:rsidRPr="009B09BF">
        <w:rPr>
          <w:rFonts w:ascii="Calibri" w:eastAsia="Calibri" w:hAnsi="Calibri" w:cs="AL-Hotham"/>
          <w:b/>
          <w:bCs/>
          <w:sz w:val="20"/>
          <w:szCs w:val="20"/>
          <w:rtl/>
        </w:rPr>
        <w:t>الاستعارة في القرآن والسنة</w:t>
      </w:r>
    </w:p>
    <w:p w:rsidR="009B09BF" w:rsidRPr="009B09BF" w:rsidRDefault="009B09BF" w:rsidP="009B09BF">
      <w:pPr>
        <w:spacing w:after="120" w:line="240" w:lineRule="auto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</w:rPr>
        <w:t>الكلمات المفتاحية</w:t>
      </w:r>
      <w:r w:rsidRPr="009B09BF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</w:t>
      </w:r>
      <w:r w:rsidRPr="009B09BF">
        <w:rPr>
          <w:rFonts w:asciiTheme="majorBidi" w:hAnsiTheme="majorBidi" w:cs="AL-Hotham"/>
          <w:b/>
          <w:bCs/>
          <w:sz w:val="20"/>
          <w:szCs w:val="20"/>
          <w:rtl/>
        </w:rPr>
        <w:t>:</w:t>
      </w:r>
      <w:r w:rsidRPr="009B09BF">
        <w:rPr>
          <w:rFonts w:cs="AL-Hotham" w:hint="cs"/>
          <w:b/>
          <w:bCs/>
          <w:spacing w:val="-6"/>
          <w:sz w:val="20"/>
          <w:szCs w:val="20"/>
          <w:rtl/>
        </w:rPr>
        <w:t xml:space="preserve"> القرآن الكريم</w:t>
      </w:r>
      <w:r w:rsidRPr="009B09BF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،</w:t>
      </w:r>
      <w:r w:rsidRPr="009B09BF">
        <w:rPr>
          <w:rFonts w:cs="AL-Hotham" w:hint="cs"/>
          <w:b/>
          <w:bCs/>
          <w:spacing w:val="-6"/>
          <w:sz w:val="20"/>
          <w:szCs w:val="20"/>
          <w:rtl/>
        </w:rPr>
        <w:t xml:space="preserve"> الاستعارة</w:t>
      </w:r>
      <w:r w:rsidRPr="009B09BF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الاستعارة القريبة</w:t>
      </w:r>
    </w:p>
    <w:p w:rsidR="009B09BF" w:rsidRPr="009B09BF" w:rsidRDefault="009B09BF" w:rsidP="009B09BF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9B09BF">
        <w:rPr>
          <w:rFonts w:asciiTheme="majorBidi" w:hAnsiTheme="majorBidi" w:cs="AL-Hotham" w:hint="cs"/>
          <w:b/>
          <w:bCs/>
          <w:sz w:val="20"/>
          <w:szCs w:val="20"/>
          <w:rtl/>
        </w:rPr>
        <w:t xml:space="preserve"> </w:t>
      </w:r>
      <w:r w:rsidRPr="009B09BF">
        <w:rPr>
          <w:rFonts w:asciiTheme="majorBidi" w:hAnsiTheme="majorBidi" w:cs="AL-Hotham"/>
          <w:b/>
          <w:bCs/>
          <w:sz w:val="20"/>
          <w:szCs w:val="20"/>
          <w:rtl/>
        </w:rPr>
        <w:t>المقدمة</w:t>
      </w:r>
    </w:p>
    <w:p w:rsidR="009B09BF" w:rsidRPr="009B09BF" w:rsidRDefault="009B09BF" w:rsidP="009B09B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9B09BF">
        <w:rPr>
          <w:rFonts w:ascii="Calibri" w:eastAsia="Calibri" w:hAnsi="Calibri" w:cs="AL-Hotham"/>
          <w:b/>
          <w:bCs/>
          <w:sz w:val="20"/>
          <w:szCs w:val="20"/>
          <w:rtl/>
        </w:rPr>
        <w:t>الاستعارة في القرآن والسنة</w:t>
      </w:r>
    </w:p>
    <w:p w:rsidR="009B09BF" w:rsidRPr="009B09BF" w:rsidRDefault="009B09BF" w:rsidP="009B09BF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</w:rPr>
        <w:t>عنوان المقال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pacing w:val="-6"/>
          <w:sz w:val="20"/>
          <w:szCs w:val="20"/>
          <w:rtl/>
        </w:rPr>
        <w:t xml:space="preserve">وإذا ما انتقلنا إلى الاستعارة، نجد أثر بلاغتها في القرآن الكريم، وفي حديث النبي </w:t>
      </w:r>
      <w:r w:rsidRPr="009B09BF">
        <w:rPr>
          <w:rFonts w:ascii="AGA Arabesque" w:hAnsi="AGA Arabesque"/>
          <w:b/>
          <w:bCs/>
          <w:spacing w:val="-6"/>
          <w:position w:val="-4"/>
          <w:sz w:val="20"/>
          <w:szCs w:val="20"/>
        </w:rPr>
        <w:t>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نجد عجبًا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فمن باب الاستعارة التصريحية، نجد قوله </w:t>
      </w:r>
      <w:r w:rsidRPr="009B09BF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: </w:t>
      </w:r>
      <w:r w:rsidRPr="009B09BF">
        <w:rPr>
          <w:rFonts w:cs="AL-Hotham" w:hint="cs"/>
          <w:b/>
          <w:bCs/>
          <w:color w:val="0000FF"/>
          <w:sz w:val="20"/>
          <w:szCs w:val="20"/>
          <w:rtl/>
        </w:rPr>
        <w:t>((خير الناس رجل ممسك بعنان فرسه في سبيل الله</w:t>
      </w:r>
      <w:r w:rsidRPr="009B09BF">
        <w:rPr>
          <w:rFonts w:cs="AL-Hotham" w:hint="cs"/>
          <w:b/>
          <w:bCs/>
          <w:color w:val="0000FF"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color w:val="0000FF"/>
          <w:sz w:val="20"/>
          <w:szCs w:val="20"/>
          <w:rtl/>
        </w:rPr>
        <w:t xml:space="preserve"> كلما سمع هيعة طار إليها))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ونلحظ أن قوله: </w:t>
      </w:r>
      <w:r w:rsidRPr="009B09BF">
        <w:rPr>
          <w:rFonts w:cs="AL-Hotham" w:hint="cs"/>
          <w:b/>
          <w:bCs/>
          <w:color w:val="0000FF"/>
          <w:sz w:val="20"/>
          <w:szCs w:val="20"/>
          <w:rtl/>
        </w:rPr>
        <w:t>((طار إليها))</w:t>
      </w:r>
      <w:r w:rsidRPr="009B09BF">
        <w:rPr>
          <w:rFonts w:cs="AL-Hotham" w:hint="cs"/>
          <w:b/>
          <w:bCs/>
          <w:sz w:val="20"/>
          <w:szCs w:val="20"/>
          <w:rtl/>
        </w:rPr>
        <w:t>، مستعار للعدْو السريع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وهو من بابه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فكلاهما قطع للمسافة. 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ولكن الطيران أسرع من العدو وأعلى منه في هذا الجنس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وواضح أن هذه الاستعارة القريبة من الحقيقة، كشفت ما أراد البيان كشفه من فرط استجابة هذا المجاهد بداعي الله، وأنه مندفع في أمر ربه اندفاعةً فائقةً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وانظر إلى قوله: </w:t>
      </w:r>
      <w:r w:rsidRPr="009B09BF">
        <w:rPr>
          <w:rFonts w:cs="AL-Hotham" w:hint="cs"/>
          <w:b/>
          <w:bCs/>
          <w:color w:val="0000FF"/>
          <w:sz w:val="20"/>
          <w:szCs w:val="20"/>
          <w:rtl/>
        </w:rPr>
        <w:t>((ممسك بعنان فرسه))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وتأمل ما وراء ذلك من فرط التأهب والترقب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وانظر إلى كلمة</w:t>
      </w:r>
      <w:r w:rsidRPr="009B09BF">
        <w:rPr>
          <w:rFonts w:cs="AL-Hotham" w:hint="cs"/>
          <w:b/>
          <w:bCs/>
          <w:color w:val="0000FF"/>
          <w:sz w:val="20"/>
          <w:szCs w:val="20"/>
          <w:rtl/>
        </w:rPr>
        <w:t>: ((كلما))</w:t>
      </w:r>
      <w:r w:rsidRPr="009B09BF">
        <w:rPr>
          <w:rFonts w:cs="AL-Hotham" w:hint="cs"/>
          <w:b/>
          <w:bCs/>
          <w:sz w:val="20"/>
          <w:szCs w:val="20"/>
          <w:rtl/>
        </w:rPr>
        <w:t>، وما وراءها من سرعة الاستجابة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وكأنها تأكيد للمعنى، في قوله: </w:t>
      </w:r>
      <w:r w:rsidRPr="009B09BF">
        <w:rPr>
          <w:rFonts w:cs="AL-Hotham" w:hint="cs"/>
          <w:b/>
          <w:bCs/>
          <w:color w:val="0000FF"/>
          <w:sz w:val="20"/>
          <w:szCs w:val="20"/>
          <w:rtl/>
        </w:rPr>
        <w:t>((ممسك))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وكأن هذا وذاك يمهد لكلمة: </w:t>
      </w:r>
      <w:r w:rsidRPr="009B09BF">
        <w:rPr>
          <w:rFonts w:cs="AL-Hotham" w:hint="cs"/>
          <w:b/>
          <w:bCs/>
          <w:color w:val="0000FF"/>
          <w:sz w:val="20"/>
          <w:szCs w:val="20"/>
          <w:rtl/>
        </w:rPr>
        <w:t>((طار))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ويهيئ النفس لاستيعاب صورة مجاهد يطير؛ تلبيةً لأمر ربه، ووقعت الاستعارة في هذا السياق موقعًا حسنًا، لا تجدوه في مثل قول الشاعر: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8"/>
        <w:gridCol w:w="559"/>
        <w:gridCol w:w="2117"/>
      </w:tblGrid>
      <w:tr w:rsidR="009B09BF" w:rsidRPr="009B09BF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9B09BF" w:rsidRPr="009B09BF" w:rsidRDefault="009B09BF" w:rsidP="009B09BF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9B09BF">
              <w:rPr>
                <w:rFonts w:cs="AGA Furat Regular" w:hint="eastAsia"/>
                <w:b/>
                <w:bCs/>
                <w:rtl/>
              </w:rPr>
              <w:t>وطِرتُ</w:t>
            </w:r>
            <w:r w:rsidRPr="009B09BF">
              <w:rPr>
                <w:rFonts w:cs="AGA Furat Regular"/>
                <w:b/>
                <w:bCs/>
                <w:rtl/>
              </w:rPr>
              <w:t xml:space="preserve"> </w:t>
            </w:r>
            <w:r w:rsidRPr="009B09BF">
              <w:rPr>
                <w:rFonts w:cs="AGA Furat Regular" w:hint="eastAsia"/>
                <w:b/>
                <w:bCs/>
                <w:rtl/>
              </w:rPr>
              <w:t>بمُنْصُلي</w:t>
            </w:r>
            <w:r w:rsidRPr="009B09BF">
              <w:rPr>
                <w:rFonts w:cs="AGA Furat Regular"/>
                <w:b/>
                <w:bCs/>
                <w:rtl/>
              </w:rPr>
              <w:t xml:space="preserve"> </w:t>
            </w:r>
            <w:r w:rsidRPr="009B09BF">
              <w:rPr>
                <w:rFonts w:cs="AGA Furat Regular" w:hint="eastAsia"/>
                <w:b/>
                <w:bCs/>
                <w:rtl/>
              </w:rPr>
              <w:t>في</w:t>
            </w:r>
            <w:r w:rsidRPr="009B09BF">
              <w:rPr>
                <w:rFonts w:cs="AGA Furat Regular"/>
                <w:b/>
                <w:bCs/>
                <w:rtl/>
              </w:rPr>
              <w:t xml:space="preserve"> </w:t>
            </w:r>
            <w:r w:rsidRPr="009B09BF">
              <w:rPr>
                <w:rFonts w:cs="AGA Furat Regular" w:hint="eastAsia"/>
                <w:b/>
                <w:bCs/>
                <w:rtl/>
              </w:rPr>
              <w:t>يَعْمَلاتٍ</w:t>
            </w:r>
            <w:r w:rsidRPr="009B09BF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9BF" w:rsidRPr="009B09BF" w:rsidRDefault="009B09BF" w:rsidP="009B09BF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9B09BF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9B09BF" w:rsidRPr="009B09BF" w:rsidRDefault="009B09BF" w:rsidP="009B09BF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9B09BF">
              <w:rPr>
                <w:rFonts w:cs="AGA Furat Regular" w:hint="eastAsia"/>
                <w:b/>
                <w:bCs/>
                <w:rtl/>
              </w:rPr>
              <w:t>دوامي</w:t>
            </w:r>
            <w:r w:rsidRPr="009B09BF">
              <w:rPr>
                <w:rFonts w:cs="AGA Furat Regular"/>
                <w:b/>
                <w:bCs/>
                <w:rtl/>
              </w:rPr>
              <w:t xml:space="preserve"> </w:t>
            </w:r>
            <w:r w:rsidRPr="009B09BF">
              <w:rPr>
                <w:rFonts w:cs="AGA Furat Regular" w:hint="eastAsia"/>
                <w:b/>
                <w:bCs/>
                <w:rtl/>
              </w:rPr>
              <w:t>الأيْدِ</w:t>
            </w:r>
            <w:r w:rsidRPr="009B09BF">
              <w:rPr>
                <w:rFonts w:cs="AGA Furat Regular"/>
                <w:b/>
                <w:bCs/>
                <w:rtl/>
              </w:rPr>
              <w:t xml:space="preserve"> </w:t>
            </w:r>
            <w:r w:rsidRPr="009B09BF">
              <w:rPr>
                <w:rFonts w:cs="AGA Furat Regular" w:hint="eastAsia"/>
                <w:b/>
                <w:bCs/>
                <w:rtl/>
              </w:rPr>
              <w:t>يخبطنَ</w:t>
            </w:r>
            <w:r w:rsidRPr="009B09BF">
              <w:rPr>
                <w:rFonts w:cs="AGA Furat Regular"/>
                <w:b/>
                <w:bCs/>
                <w:rtl/>
              </w:rPr>
              <w:t xml:space="preserve"> </w:t>
            </w:r>
            <w:r w:rsidRPr="009B09BF">
              <w:rPr>
                <w:rFonts w:cs="AGA Furat Regular" w:hint="eastAsia"/>
                <w:b/>
                <w:bCs/>
                <w:rtl/>
              </w:rPr>
              <w:t>السّريحا</w:t>
            </w:r>
            <w:r w:rsidRPr="009B09BF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والمنصل: هو السيف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واليعملات: هي النوق المطبوعة على العمل.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وقول الآخر:</w:t>
      </w: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6"/>
        <w:gridCol w:w="568"/>
        <w:gridCol w:w="2130"/>
      </w:tblGrid>
      <w:tr w:rsidR="009B09BF" w:rsidRPr="009B09BF" w:rsidTr="00145F11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9B09BF" w:rsidRPr="009B09BF" w:rsidRDefault="009B09BF" w:rsidP="009B09BF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9B09BF">
              <w:rPr>
                <w:rFonts w:cs="AGA Furat Regular" w:hint="cs"/>
                <w:b/>
                <w:bCs/>
                <w:rtl/>
              </w:rPr>
              <w:t>لو يشا طار به ذو ميعة</w:t>
            </w:r>
            <w:r w:rsidRPr="009B09BF">
              <w:rPr>
                <w:rFonts w:cs="AGA Furat Regular"/>
                <w:b/>
                <w:bCs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09BF" w:rsidRPr="009B09BF" w:rsidRDefault="009B09BF" w:rsidP="009B09BF">
            <w:pPr>
              <w:spacing w:after="120"/>
              <w:jc w:val="center"/>
              <w:rPr>
                <w:rFonts w:cs="AL-Hotham"/>
                <w:b/>
                <w:bCs/>
                <w:rtl/>
              </w:rPr>
            </w:pPr>
            <w:r w:rsidRPr="009B09BF">
              <w:rPr>
                <w:rFonts w:cs="AL-Hotham" w:hint="cs"/>
                <w:b/>
                <w:bCs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9B09BF" w:rsidRPr="009B09BF" w:rsidRDefault="009B09BF" w:rsidP="009B09BF">
            <w:pPr>
              <w:spacing w:after="120"/>
              <w:jc w:val="both"/>
              <w:rPr>
                <w:rFonts w:cs="AGA Furat Regular"/>
                <w:b/>
                <w:bCs/>
                <w:rtl/>
              </w:rPr>
            </w:pPr>
            <w:r w:rsidRPr="009B09BF">
              <w:rPr>
                <w:rFonts w:cs="AGA Furat Regular" w:hint="cs"/>
                <w:b/>
                <w:bCs/>
                <w:rtl/>
              </w:rPr>
              <w:t>لاحق الآطال نهد ذو خصل</w:t>
            </w:r>
            <w:r w:rsidRPr="009B09BF">
              <w:rPr>
                <w:rFonts w:cs="AGA Furat Regular"/>
                <w:b/>
                <w:bCs/>
                <w:rtl/>
              </w:rPr>
              <w:br/>
            </w:r>
          </w:p>
        </w:tc>
      </w:tr>
    </w:tbl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جمع خصلة، وهو الشعر المجتمع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ولاحق الآطال: هي بمعنى ضامر الخاصرة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وذلك لفقدان التوطئة، والتمهيد الذي هيَّأ لهذه الاستعارة، ومثل هذه الفروق الدقيقة التي تشبه الفتات النفيس، يتفاضل البيان.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ومن شواهد هذا الضرب من ضروب الاستعارة، ما جاء في قول الله تعالى، في شأن بني إسرائيل: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72" w:hAnsi="QCF_P172" w:cs="QCF_P172"/>
          <w:b/>
          <w:bCs/>
          <w:color w:val="008000"/>
          <w:sz w:val="20"/>
          <w:szCs w:val="20"/>
          <w:rtl/>
        </w:rPr>
        <w:t>ﮜ ﮝ ﮞ ﮟ ﮠ ﮡ ﮢ ﮣ ﮤ ﮥ ﮦ ﮧ ﮨ ﮩ ﮪ ﮫ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[الأعراف: 168]، فها هنا ترى التعبير عن التفرقة بالقطع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والقطع إنما يكون للأشياء المتماسكة كالشجر، أو الخشب، أو الثوب، وما شابه ذلك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 xml:space="preserve">، </w:t>
      </w:r>
      <w:r w:rsidRPr="009B09BF">
        <w:rPr>
          <w:rFonts w:cs="AL-Hotham" w:hint="cs"/>
          <w:b/>
          <w:bCs/>
          <w:sz w:val="20"/>
          <w:szCs w:val="20"/>
          <w:rtl/>
        </w:rPr>
        <w:t>وإنما يقال في الأقوام: تفرقوا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فقد استعير التقطيع للتفريق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وهي استعارة قريبة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قال عبد القاهر، في: (أسرار البلاغة): "إن القطع إذا أُطلق فهو لإزالة الاتصال من الأجسام التي تلتزق أجزاؤها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وإذا جاء في تفريق الجماعة وإبعاد بعضهم عن بعض، كقوله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72" w:hAnsi="QCF_P172" w:cs="QCF_P172"/>
          <w:b/>
          <w:bCs/>
          <w:color w:val="008000"/>
          <w:sz w:val="20"/>
          <w:szCs w:val="20"/>
          <w:rtl/>
        </w:rPr>
        <w:t>ﮜ ﮝ ﮞ ﮟ</w:t>
      </w:r>
      <w:r w:rsidRPr="009B09BF">
        <w:rPr>
          <w:rFonts w:ascii="QCF_P172" w:hAnsi="QCF_P172" w:cs="DecoType Thuluth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sz w:val="20"/>
          <w:szCs w:val="20"/>
          <w:rtl/>
        </w:rPr>
        <w:t>، كان شبه الاستعارة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 كان المعنى في الموضعين على إزالة الاجتماع ونفيه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فإن قلت: قطع عليه كلامه، أو قلت: نقطع الوقت بكذا؛ كان نوعًا آخر".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انتهى كلام عبد القاهر.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lastRenderedPageBreak/>
        <w:t>وبما أن هذه الاستعارة التي تُشبه الحقيقة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أو التي هي شبه الاستعارة </w:t>
      </w:r>
      <w:r w:rsidRPr="009B09BF">
        <w:rPr>
          <w:rFonts w:cs="Traditional Arabic" w:hint="cs"/>
          <w:b/>
          <w:bCs/>
          <w:sz w:val="20"/>
          <w:szCs w:val="20"/>
          <w:rtl/>
        </w:rPr>
        <w:t>-</w:t>
      </w:r>
      <w:r w:rsidRPr="009B09BF">
        <w:rPr>
          <w:rFonts w:cs="AL-Hotham" w:hint="cs"/>
          <w:b/>
          <w:bCs/>
          <w:sz w:val="20"/>
          <w:szCs w:val="20"/>
          <w:rtl/>
        </w:rPr>
        <w:t>كما يقول عبد القاهر</w:t>
      </w:r>
      <w:r w:rsidRPr="009B09BF">
        <w:rPr>
          <w:rFonts w:cs="Traditional Arabic" w:hint="cs"/>
          <w:b/>
          <w:bCs/>
          <w:sz w:val="20"/>
          <w:szCs w:val="20"/>
          <w:rtl/>
        </w:rPr>
        <w:t>-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قد أثرت المعنى بما لا تجده في مثل قولنا: وفرقناهم في الأرض أممًا؛ وذلك لأن التقطيع الذي مُني به اليهود يشير إلى معنًى نفسيٍّ دقيق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هو هذه الوشائج والعلائق التي تقوم بين الجماعة القائمة في مكان واحد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والمجتمعة في أرض واحدة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والتي هي أشبه بالُّلحمة في الثوب.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وقوله: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72" w:hAnsi="QCF_P172" w:cs="QCF_P172"/>
          <w:b/>
          <w:bCs/>
          <w:color w:val="008000"/>
          <w:sz w:val="20"/>
          <w:szCs w:val="20"/>
          <w:rtl/>
        </w:rPr>
        <w:t>ﮜ</w:t>
      </w:r>
      <w:r w:rsidRPr="009B09BF">
        <w:rPr>
          <w:rFonts w:ascii="QCF_P172" w:hAnsi="QCF_P172" w:cs="DecoType Thuluth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sz w:val="20"/>
          <w:szCs w:val="20"/>
          <w:rtl/>
        </w:rPr>
        <w:t>، يشير إلى تقطيع هذه الصلات والروابط المتلاحمة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والتي تربط الأخ بأخيه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والوالد بولده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والصاحب بصاحبه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وفي ذلك تصوير لآثار هذا التفريق وفعله في نفوسهم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وربما لا نجد هذا في كلمة: فرَّقناهم. </w:t>
      </w:r>
    </w:p>
    <w:p w:rsidR="009B09BF" w:rsidRPr="009B09BF" w:rsidRDefault="009B09BF" w:rsidP="009B09BF">
      <w:pPr>
        <w:spacing w:after="120" w:line="240" w:lineRule="auto"/>
        <w:jc w:val="both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وقد جسد القرآن معنى جهات روابط النفوس وتواصلها في هذه الكلمة، في تصوير حسن وسياق حافل بمشاعر اللهفة والندم، في 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39" w:hAnsi="QCF_P139" w:cs="QCF_P139"/>
          <w:b/>
          <w:bCs/>
          <w:color w:val="008000"/>
          <w:sz w:val="20"/>
          <w:szCs w:val="20"/>
          <w:rtl/>
        </w:rPr>
        <w:t>ﯱ ﯲ ﯳ ﯴ ﯵ ﯶ ﯷ ﯸ ﯹ ﯺ ﯻ ﯼ ﯽ ﯾ ﯿ ﰀ ﰁ ﰂ ﰃ ﰄ ﰅ ﰆ ﰇ ﰈ ﰉ ﰊ ﰋ ﰌ ﰍ ﰎ ﰏ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[الأنعام: 94]. 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وانظر إلى 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39" w:hAnsi="QCF_P139" w:cs="QCF_P139"/>
          <w:b/>
          <w:bCs/>
          <w:color w:val="008000"/>
          <w:sz w:val="20"/>
          <w:szCs w:val="20"/>
          <w:rtl/>
        </w:rPr>
        <w:t>ﰈ ﰉ ﰊ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sz w:val="20"/>
          <w:szCs w:val="20"/>
          <w:rtl/>
        </w:rPr>
        <w:t>، وكيف كان هذا الاستئناف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وهذا القطع في بناء الجملة، تهيئة لتجسيد هذا المعنى وتركيزه في كلمة: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39" w:hAnsi="QCF_P139" w:cs="QCF_P139"/>
          <w:b/>
          <w:bCs/>
          <w:color w:val="008000"/>
          <w:sz w:val="20"/>
          <w:szCs w:val="20"/>
          <w:rtl/>
        </w:rPr>
        <w:t>ﰉ ﰊ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sz w:val="20"/>
          <w:szCs w:val="20"/>
          <w:rtl/>
        </w:rPr>
        <w:t>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قال الشريف الرضي: "لا فصائلَ هناك عن الحقيقة فتوصف بالتقطع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وإنما المراد: لقد زال ما بينكم من شبكة المودة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وعلاقة الألفة التي تُشبه لاستحكامها بالحبال المحصبة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والقرائن المؤكدة"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.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ومثل هذا تجده في قوله تعالى، في شأن سبأ الذين كان لهم في مسكنهم آية: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430" w:hAnsi="QCF_P430" w:cs="QCF_P430"/>
          <w:b/>
          <w:bCs/>
          <w:color w:val="008000"/>
          <w:sz w:val="20"/>
          <w:szCs w:val="20"/>
          <w:rtl/>
        </w:rPr>
        <w:t>ﭘ ﭙ ﭚ ﭛ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[سبأ: 15]، والذين كانوا يتواصلون في بلدة طيبة، وكلاءة رب غفور: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430" w:hAnsi="QCF_P430" w:cs="QCF_P430"/>
          <w:b/>
          <w:bCs/>
          <w:color w:val="008000"/>
          <w:sz w:val="20"/>
          <w:szCs w:val="20"/>
          <w:rtl/>
        </w:rPr>
        <w:t>ﮗ ﮘ ﮙ ﮚ ﮛ ﮜ ﮝ ﮞ ﮟ ﮠ ﮡ ﮢ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[سبأ: 19]؛ لأنه يقال: مزق الثوب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ولا يقال مزق القوم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وإنما يقال: فرقهم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ولما كان هذا التفريق كأنه نزعٌ لكل فرقة من هذه الجماعة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كما تُنزع القطعة من الجسم الحي المتواصل؛ عبر عنه بالتمزيق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ليشير إلى المعاناة التي عاناها هؤلاء الذين ظلموا أنفسهم بهذا التشتيت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وهذا التفريق. 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وكأن علائق الود وصلات القربى حبال ممدودة بين هذه الجماعة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فجاء التفريق كأنه شق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وتمزيق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وتقطيع لهذه الأوصال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وهذا المعنى تجده ثاويًا وراء كلمة: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430" w:hAnsi="QCF_P430" w:cs="QCF_P430"/>
          <w:b/>
          <w:bCs/>
          <w:color w:val="008000"/>
          <w:sz w:val="20"/>
          <w:szCs w:val="20"/>
          <w:rtl/>
        </w:rPr>
        <w:t>ﮠ</w:t>
      </w:r>
      <w:r w:rsidRPr="009B09BF">
        <w:rPr>
          <w:rFonts w:ascii="QCF_P430" w:hAnsi="QCF_P430" w:cs="DecoType Thuluth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ولا تجد شيئًا منه لو قال: فرقناهم.</w:t>
      </w:r>
    </w:p>
    <w:p w:rsidR="009B09BF" w:rsidRPr="009B09BF" w:rsidRDefault="009B09BF" w:rsidP="009B09BF">
      <w:pPr>
        <w:spacing w:after="120" w:line="240" w:lineRule="auto"/>
        <w:jc w:val="both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وخذ عندك مثلًا 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43" w:hAnsi="QCF_P143" w:cs="QCF_P143"/>
          <w:b/>
          <w:bCs/>
          <w:color w:val="008000"/>
          <w:sz w:val="20"/>
          <w:szCs w:val="20"/>
          <w:rtl/>
        </w:rPr>
        <w:t>ﮗ ﮘ ﮙ ﮚ ﮛ ﮜ ﮝ ﮞ ﮟ ﮠ ﮡ ﮢ ﮣ ﮤ ﮥ ﮦ ﮧ ﮨ ﮩ ﮪ ﮫ ﮬ ﮭ ﮮ ﮯ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[الأنعام: 122]، وقد عمدت إلى هذه الصورة؛ لأنها من الشواهد المشهورة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والمراد بالميت هنا: الضال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فقد شُبه به واستعير له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كما أن المراد بـ"أحييناه": هديناه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والآية تذكر حالين أو مرحلتين من مراحل حياة الإنسان؛ المرحلة الأولى كان فيها ميتًا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وهو في الثانية حيّ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والواقع أن هذا الإنسان كان حيًّا في الحالين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حياة بمعناها المتعارف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ولكنه لما كان منطفئ الفطرة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معطل الإدراك جُعل </w:t>
      </w:r>
      <w:r w:rsidRPr="009B09BF">
        <w:rPr>
          <w:rFonts w:cs="AL-Hotham" w:hint="cs"/>
          <w:b/>
          <w:bCs/>
          <w:sz w:val="20"/>
          <w:szCs w:val="20"/>
          <w:rtl/>
        </w:rPr>
        <w:lastRenderedPageBreak/>
        <w:t>ميتًا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وكأن غاية الحياة إنما هي في استقامة الفطرة وسلامة النظر الراشد إلى معرفة الحق والخير.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والموت هنا له مفهوم جديد، ربما كان انغماس النفس في ظلمة الحيوانية، وبقاء الروح مكفوفة الإدراك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تخبط في الأرض من غير غاية نبيلة تسعى إليها؛ لتسعد بها سعادة أبدية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وواضح أن الحياة في هذه المرحلة حياة وموت معًا؛ لأنه يحيا ويتقلب كما يتقلب كل حي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ولكن هنا معنًى قلبي ينقصه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فسلب معنى الحياة من هذه الحياة.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والضلال أيضًا، له مفهوم جديد لهذه الاستعارة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لأنه لم يعد ضلالًا وإنما صار موتًا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كما أن الموت له أيضًا مفهوم جديد؛ لأنه ليس إبطالًا للأحوال الجسمية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وإنما هو إبطال للطاقات الروحية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وكذلك الاستعارة في: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43" w:hAnsi="QCF_P143" w:cs="QCF_P143"/>
          <w:b/>
          <w:bCs/>
          <w:color w:val="008000"/>
          <w:sz w:val="20"/>
          <w:szCs w:val="20"/>
          <w:rtl/>
        </w:rPr>
        <w:t>ﮚ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sz w:val="20"/>
          <w:szCs w:val="20"/>
          <w:rtl/>
        </w:rPr>
        <w:t>، ليست الحياة فيها هي الحياة المألوفة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وإنما هي الهداية التي صارت بدورها حياة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أو ضربًا من الحياة غير مألوف؛ لأنها تعني خلوص النفس مما يُثقل نهوضها الثاني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التي تهتف بها فطرتها الطاهرة النازعة نزوعًا دائمًا إلى الحق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والمثل الأعلى.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فالاستعارة هنا جددت معاني الكلمات وأثرتها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وأفرغت فيها فكرًا جديدًا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وحِسًّا جديدًا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فصرنا نرى حياةً ولكنها ليست حياةً بالمعنى المتداول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ونرى هدايةً ولكنها ليست هدايةً بالمعنى المتداول أيضًا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وكأننا أمام حقيقة ثالثة ليست المستعار منه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ولا المستعار له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أعني: ليست الطرفين اللذين زاوجنا بينهما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وإنما هي شيء ثالث، ولَّده هذا التزاوج والتداخل الذي أدمج المستعار له في المستعار منه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ولكنه لم يشكله تشكيلًا كاملًا في صورة المستعار منه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وإنما بقي بين بين.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ومن الاستعارات التي بُنيت على التمثيل عند عبد القاهر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أو التي يكون فيها المستعار له أمرًا معقولًا، والمستعار منه أمرًا محسوسًا </w:t>
      </w:r>
      <w:r w:rsidRPr="009B09BF">
        <w:rPr>
          <w:rFonts w:cs="Traditional Arabic" w:hint="cs"/>
          <w:b/>
          <w:bCs/>
          <w:sz w:val="20"/>
          <w:szCs w:val="20"/>
          <w:rtl/>
        </w:rPr>
        <w:t>-</w:t>
      </w:r>
      <w:r w:rsidRPr="009B09BF">
        <w:rPr>
          <w:rFonts w:cs="AL-Hotham" w:hint="cs"/>
          <w:b/>
          <w:bCs/>
          <w:sz w:val="20"/>
          <w:szCs w:val="20"/>
          <w:rtl/>
        </w:rPr>
        <w:t>كما يقول الخطيب</w:t>
      </w:r>
      <w:r w:rsidRPr="009B09BF">
        <w:rPr>
          <w:rFonts w:cs="Traditional Arabic" w:hint="cs"/>
          <w:b/>
          <w:bCs/>
          <w:sz w:val="20"/>
          <w:szCs w:val="20"/>
          <w:rtl/>
        </w:rPr>
        <w:t>-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267" w:hAnsi="QCF_P267" w:cs="QCF_P267"/>
          <w:b/>
          <w:bCs/>
          <w:color w:val="008000"/>
          <w:sz w:val="20"/>
          <w:szCs w:val="20"/>
          <w:rtl/>
        </w:rPr>
        <w:t>ﭖ ﭗ ﭘ ﭙ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ascii="QCF_P267" w:hAnsi="QCF_P267" w:cs="QCF_P267"/>
          <w:b/>
          <w:bCs/>
          <w:color w:val="008000"/>
          <w:sz w:val="20"/>
          <w:szCs w:val="20"/>
          <w:rtl/>
        </w:rPr>
        <w:t>ﭚ ﭛ ﭜ ﭝ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ascii="QCF_P267" w:hAnsi="QCF_P267" w:cs="QCF_P267"/>
          <w:b/>
          <w:bCs/>
          <w:color w:val="008000"/>
          <w:sz w:val="20"/>
          <w:szCs w:val="20"/>
          <w:rtl/>
        </w:rPr>
        <w:t>ﭞ ﭟ ﭠ ﭡ ﭢ ﭣ ﭤ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ascii="QCF_P267" w:hAnsi="QCF_P267" w:cs="QCF_P267"/>
          <w:b/>
          <w:bCs/>
          <w:color w:val="008000"/>
          <w:sz w:val="20"/>
          <w:szCs w:val="20"/>
          <w:rtl/>
        </w:rPr>
        <w:t>ﭥ ﭦ ﭧ ﭨ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[الحجر:92</w:t>
      </w:r>
      <w:r w:rsidRPr="009B09BF">
        <w:rPr>
          <w:rFonts w:cs="Traditional Arabic" w:hint="cs"/>
          <w:b/>
          <w:bCs/>
          <w:sz w:val="20"/>
          <w:szCs w:val="20"/>
          <w:rtl/>
        </w:rPr>
        <w:t>-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95]، والصدع يكون في الأجسام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ومنه: صدع الزجاجة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وسُمي الفجر صديعًا؛ لأنه يصدع الظلمة ويشقها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والمراد كما يقول الزمخشري: "فاجهر به وأظهره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يقال صدع بالحجة: إذا تكلم بها جهرًا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كما يقال: صرَّح بها".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فالصدع مستعار للجهر والإبانة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والعلاقة هي أن الصدع تنفصل به الأجزاء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وتبين مقاطعها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فكذلك الإبانة والجهر تتحدد بهما الحقائق وتنكشف الأغراض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ثم إنك ترى التمييز والتحديد في الصدع بعينك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وترى التحديد والتمييز في القول بفهمك وقلبك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فالذي في المشبه ليس هو الذي في المشبه به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وإنما هو شيء منه بسبيل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وهذا هو معنى التأول عند عبد القاهر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وفي هذه الاستعارة معنًى فوق ما تراه من تجسيد هذه الحقيقة الروحية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وهو الكشف المبين عن حقائق ما جاء به النبي محمد </w:t>
      </w:r>
      <w:r w:rsidRPr="009B09BF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9B09BF">
        <w:rPr>
          <w:rFonts w:cs="AL-Hotham" w:hint="cs"/>
          <w:b/>
          <w:bCs/>
          <w:sz w:val="20"/>
          <w:szCs w:val="20"/>
          <w:rtl/>
        </w:rPr>
        <w:t>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وصيرورته في هذه الصورة المحسوسة، وهو الصدع، والشق الماثل في الأجسام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وهذه الاستعارة فيها فوق ذلك الإشارة إلى وجوب الإعلال الواضح بكلمة الله في كل أمر من الأمور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 كان في هذا مصادمة لما تعارف عليه الناس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ولما ألفوه في حياتهم وسلوكهم وعاداتهم.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والأمر بالصدع هنا، يعني: زلزلة هذا المألوف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وشقه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ومصادمته، مصادمة تصدعه وتهدمه، ما دام قائمًا في وجوده على غير منهج الله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وهكذا فعل الرسول الكريم </w:t>
      </w:r>
      <w:r w:rsidRPr="009B09BF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فقد هدم ما ترسَّخ من عقائدهم وأعرافهم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وما ترسخ في قلوبهم وضمائرهم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ثم إن هذه الاستعارة من وجه آخر، تُرمى في وجوه هؤلاء الذين يُمالئون في كلمة الله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وحدود حلاله وحرامه بمصانعة الجهلة والطواغيت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وتأييد ضلالاتهم وانحرافاتهم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وإعطائها صبغة قرآنية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وكذلك الذين يُصانعون العقائد والمذاهب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وما أكثرهم في عصرنا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فيتساهلون في تحديد وجهة نظر القرآن الكريم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أو يُلبسون في بعض جوانبها؛ ليدنوا هذه النظم من القرآن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أو يدنوا القرآن منها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وهذا وغيره يُخالف الإبانه الكاشفة التي جسدتها كلمة: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267" w:hAnsi="QCF_P267" w:cs="QCF_P267"/>
          <w:b/>
          <w:bCs/>
          <w:color w:val="008000"/>
          <w:sz w:val="20"/>
          <w:szCs w:val="20"/>
          <w:rtl/>
        </w:rPr>
        <w:t>ﭞ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sz w:val="20"/>
          <w:szCs w:val="20"/>
          <w:rtl/>
        </w:rPr>
        <w:t>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وانظر إلى 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267" w:hAnsi="QCF_P267" w:cs="QCF_P267"/>
          <w:b/>
          <w:bCs/>
          <w:color w:val="008000"/>
          <w:sz w:val="20"/>
          <w:szCs w:val="20"/>
          <w:rtl/>
        </w:rPr>
        <w:t>ﭟ ﭠ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sz w:val="20"/>
          <w:szCs w:val="20"/>
          <w:rtl/>
        </w:rPr>
        <w:t>، كيف عبر عن الدين وأمر الله بهذه الصيغة التي تُبعد عن هذا الأمر عنصر البشرية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وذاتية محمد </w:t>
      </w:r>
      <w:r w:rsidRPr="009B09BF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9B09BF">
        <w:rPr>
          <w:rFonts w:cs="AL-Hotham" w:hint="cs"/>
          <w:b/>
          <w:bCs/>
          <w:sz w:val="20"/>
          <w:szCs w:val="20"/>
          <w:rtl/>
        </w:rPr>
        <w:t>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ويقرب من هذه الاستعارة في بعض دلالالتها، 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489" w:hAnsi="QCF_P489" w:cs="QCF_P489"/>
          <w:b/>
          <w:bCs/>
          <w:color w:val="008000"/>
          <w:sz w:val="20"/>
          <w:szCs w:val="20"/>
          <w:rtl/>
        </w:rPr>
        <w:t>ﭩ ﭪ ﭫ ﭬ ﭭ</w:t>
      </w:r>
      <w:r w:rsidRPr="009B09BF">
        <w:rPr>
          <w:rFonts w:ascii="QCF_P489" w:hAnsi="QCF_P489" w:cs="DecoType Thuluth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[الشورى: 52]، والمراد ليس هو الصراط الذي تراه عينك طريقًا </w:t>
      </w:r>
      <w:r w:rsidRPr="009B09BF">
        <w:rPr>
          <w:rFonts w:cs="AL-Hotham" w:hint="cs"/>
          <w:b/>
          <w:bCs/>
          <w:sz w:val="20"/>
          <w:szCs w:val="20"/>
          <w:rtl/>
        </w:rPr>
        <w:lastRenderedPageBreak/>
        <w:t>واضحًا مستقيمًا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وإنما المراد حقائق الدين ومنهج القرآن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وتجاوبه مع الفِطرة الصحيحة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واستقامته في نفوس أهل الحق واليقين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كأنه طريق واضح يصف منهجًا بينًا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ويحدد المعالم تحديدًا مضيئًا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فالموقن بهذا الدين لا يبحث عن خطة يمضي في حياته عليها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وإنما الطريق بين يديه وهو طريق مستقيم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وما عليه إلا أن يمضي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وقد تكررت هذه الاستعارة في القرآن؛ لتنفي عن هذا الدين التلبيس والغموضَ الذي يثقل كثيرًا من الديانات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والدين هنا صراط مصروط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لا عوجَ فيه ولا غموض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وتجد هذا الصراط مضافًا، في مثل قوله: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44" w:hAnsi="QCF_P144" w:cs="QCF_P144"/>
          <w:b/>
          <w:bCs/>
          <w:color w:val="008000"/>
          <w:sz w:val="20"/>
          <w:szCs w:val="20"/>
          <w:rtl/>
        </w:rPr>
        <w:t>ﭰ ﭱ ﭲ ﭳ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[الأنعام: 126]، ففي هذه الإضافة، تأكيد لمعنى أن حقائق هذا الدين لا تلتبس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ولا تُلتبس بغيرها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وأنه سيظل في أصوله نقيًّا خاليًا من الآثار البشرية التي لا يجوز أن تختلط به؛ لأنه ينفيها ويكشفها بوضوح الربانية فيه. 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وقوله: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44" w:hAnsi="QCF_P144" w:cs="QCF_P144"/>
          <w:b/>
          <w:bCs/>
          <w:color w:val="008000"/>
          <w:sz w:val="20"/>
          <w:szCs w:val="20"/>
          <w:rtl/>
        </w:rPr>
        <w:t>ﭱ ﭲ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sz w:val="20"/>
          <w:szCs w:val="20"/>
          <w:rtl/>
        </w:rPr>
        <w:t>؛ فهو خط واضح تحدده حدوده، فلا يلتبس بغيره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pacing w:val="-4"/>
          <w:sz w:val="20"/>
          <w:szCs w:val="20"/>
          <w:rtl/>
        </w:rPr>
        <w:t xml:space="preserve">ولأجل تأكيد وضوح حقائق هذا الدين وتحديدها؛ تجد التعبير عنها بالنور يكثر في هذا الكتاب، ومثاله قوله تعالى: </w:t>
      </w:r>
      <w:r w:rsidRPr="009B09BF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9B09BF">
        <w:rPr>
          <w:rFonts w:ascii="QCF_P170" w:hAnsi="QCF_P170" w:cs="QCF_P170"/>
          <w:b/>
          <w:bCs/>
          <w:color w:val="008000"/>
          <w:spacing w:val="-4"/>
          <w:sz w:val="20"/>
          <w:szCs w:val="20"/>
          <w:rtl/>
        </w:rPr>
        <w:t>ﮘ ﮙ ﮚ ﮛ ﮜ</w:t>
      </w:r>
      <w:r w:rsidRPr="009B09BF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pacing w:val="-4"/>
          <w:sz w:val="20"/>
          <w:szCs w:val="20"/>
          <w:rtl/>
        </w:rPr>
        <w:t>[الأعراف: 157]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، وقوله: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552" w:hAnsi="QCF_P552" w:cs="QCF_P552"/>
          <w:b/>
          <w:bCs/>
          <w:color w:val="008000"/>
          <w:sz w:val="20"/>
          <w:szCs w:val="20"/>
          <w:rtl/>
        </w:rPr>
        <w:t>ﮄ ﮅ ﮆ ﮇ ﮈ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[الصف: 8]، والدين حقائق وعقائد وسلوك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ولكنها تهدي المؤمن في مسيرة وجوده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كما تهدي المنارات الوهاجة جوانب الطريق للسائر فيه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فإذا انصرفت النفس البشرية عن هذه الحقائق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وفقدت هذا النور، توزَّعت واختلط عليها الأمر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وصارت إلى ليل الشَّكِّ والضلال. 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فهكذا أثرت الاستعارة هنا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وأدَّت المراد منها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وهذا هو معنى التفكر في آيات الله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والتدبر في آي التنزيل.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pacing w:val="-4"/>
          <w:sz w:val="20"/>
          <w:szCs w:val="20"/>
          <w:rtl/>
        </w:rPr>
        <w:t xml:space="preserve">ومما هو شديد الصلة بما سبق، ما جاء في قول الله تعالى: </w:t>
      </w:r>
      <w:r w:rsidRPr="009B09BF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{</w:t>
      </w:r>
      <w:r w:rsidRPr="009B09BF">
        <w:rPr>
          <w:rFonts w:ascii="QCF_P043" w:hAnsi="QCF_P043" w:cs="QCF_P043"/>
          <w:b/>
          <w:bCs/>
          <w:color w:val="008000"/>
          <w:spacing w:val="-4"/>
          <w:sz w:val="20"/>
          <w:szCs w:val="20"/>
          <w:rtl/>
        </w:rPr>
        <w:t>ﭑ ﭒ ﭓ ﭔ ﭕ ﭖ ﭗ ﭘ ﭙ ﭚ ﭛ ﭜ ﭝ ﭞ</w:t>
      </w:r>
      <w:r w:rsidRPr="009B09BF">
        <w:rPr>
          <w:rFonts w:cs="DecoType Thuluth" w:hint="cs"/>
          <w:b/>
          <w:bCs/>
          <w:color w:val="008000"/>
          <w:spacing w:val="-4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pacing w:val="-4"/>
          <w:sz w:val="20"/>
          <w:szCs w:val="20"/>
          <w:rtl/>
        </w:rPr>
        <w:t>[البقرة: 257]</w:t>
      </w:r>
      <w:r w:rsidRPr="009B09BF">
        <w:rPr>
          <w:rFonts w:cs="AL-Hotham" w:hint="cs"/>
          <w:b/>
          <w:bCs/>
          <w:sz w:val="20"/>
          <w:szCs w:val="20"/>
          <w:rtl/>
        </w:rPr>
        <w:t>، فالطاغوت: كل ما يُعبد من دون الله كالأصنام والأوثان؛ لأنه يطغى على الإنسان، فيغلو في الكفر والمعاصي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وفي الآية استعار الظلمات للكفر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والنور للإيمان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والمعنى المشترك بين الظلام والكفر هو الضلال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وبين النور والإيمان هوالهداية، فصرح بلفظ المشبه به وحذف المشبه.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وقوله تعالى، قبل هذه الآية: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042" w:hAnsi="QCF_P042" w:cs="QCF_P042"/>
          <w:b/>
          <w:bCs/>
          <w:color w:val="008000"/>
          <w:sz w:val="20"/>
          <w:szCs w:val="20"/>
          <w:rtl/>
        </w:rPr>
        <w:t>ﰊ ﰋ ﰌ ﰍ ﰎ ﰏ ﰐ ﰑ ﰒ ﰓ ﰔ ﰕ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[البقرة: 256]، يعني: مَن كفَر بالطاغوت وآمن بالله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فقد ثبت على أمره واستقام على الإيمان، فشبه الإيمان الخالص بالعروة الوثقى، في نجاة من يستمسك به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فصرح بالمشبه به دون المشبه.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ففي المثال الأول، يستحيل الهدى والضلال نورًا وظلمة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ً،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ثم تبدأ عملية الإخراج المتخيلة من الظلمة إلى الهداية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وما فيها من حركة. 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وفي المثال الثاني، يصبح الإيمان عروة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ثم تبدأ الحركة المتخيلة في الاستمساك بها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فتؤدي هذه الصورة المجسمة المتحركة إلى تمثيل أوضح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وأرسخ للمعنى الخيالي المجرد. 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وفي إجراء الاستعارة في المثال الأول، نقول: أنه شبه الكفر بالظلمات بجامع الضلال في كلٍّ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فحذف المشبه واستعار المشبه به للمشبه على سبيل الاستعارة التصريحية؛ لأنه صرح بلفظ المشبه به. 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>والاستعارة هنا أصلية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لأن المشبه به اسم جامع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كما أنه شبه الإيمان بالنور، بجامع الهداية في كلٍّ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ثم حذف المشبه واستعار المشبه به للمشبه على سبيل الاستعارة التصريحية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 xml:space="preserve"> الأصلية،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ثم إنه في المثال الثاني، شبه الإيمان الخالص بالعروة الوثقى في نجاة مَن يستمسك به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ورمز له بشيء من لوازمه، وهو الاستمساك به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فحذف المشبه به على سبيل الاستعارة المكنية.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261" w:hAnsi="QCF_P261" w:cs="QCF_P261"/>
          <w:b/>
          <w:bCs/>
          <w:color w:val="008000"/>
          <w:sz w:val="20"/>
          <w:szCs w:val="20"/>
          <w:rtl/>
        </w:rPr>
        <w:t>ﮇ ﮈ ﮉ ﮊ ﮋ ﮌ ﮍ ﮎ ﮏ ﮐ ﮑ ﮒ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[إبراهيم: 46]، فالمعنى: ما كان خداعهم وتكذيبهم، لتزول منه هذه الأمور المستقرة الثابتة، التي هي كالجبال في الرسوخ والاستقرار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فاستعار هنا الجبال لما أتَى به الرسول </w:t>
      </w:r>
      <w:r w:rsidRPr="009B09BF">
        <w:rPr>
          <w:rFonts w:ascii="AGA Arabesque" w:hAnsi="AGA Arabesque"/>
          <w:b/>
          <w:bCs/>
          <w:position w:val="-4"/>
          <w:sz w:val="20"/>
          <w:szCs w:val="20"/>
        </w:rPr>
        <w:t>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من المعجزات والبراهين الدالة على صدق رسالته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فصرح بلفظ المشبه به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وحذف المشبه على سبيل الاستعارة التصريحية.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lastRenderedPageBreak/>
        <w:t xml:space="preserve">كما في 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376" w:hAnsi="QCF_P376" w:cs="QCF_P376"/>
          <w:b/>
          <w:bCs/>
          <w:color w:val="008000"/>
          <w:sz w:val="20"/>
          <w:szCs w:val="20"/>
          <w:rtl/>
        </w:rPr>
        <w:t>ﯘ ﯙ ﯚ ﯛ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ascii="QCF_P376" w:hAnsi="QCF_P376" w:cs="QCF_P376"/>
          <w:b/>
          <w:bCs/>
          <w:color w:val="008000"/>
          <w:sz w:val="20"/>
          <w:szCs w:val="20"/>
          <w:rtl/>
        </w:rPr>
        <w:t>ﯜ ﯝ ﯞ ﯟ ﯠ ﯡ ﯢ ﯣ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[الشعراء:224</w:t>
      </w:r>
      <w:r w:rsidRPr="009B09BF">
        <w:rPr>
          <w:rFonts w:cs="Traditional Arabic" w:hint="cs"/>
          <w:b/>
          <w:bCs/>
          <w:sz w:val="20"/>
          <w:szCs w:val="20"/>
          <w:rtl/>
        </w:rPr>
        <w:t>-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225]، فقد استعار الأودية للمقاصد الشعرية التي يلخصونها بأفئدتهم ويصوغونها بأفكارهم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وخص الاستعارة بالأودية دون الطرق والمسالك؛ لأن المعاني الشعرية تستخرج بالفكرة والروية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وفيها خفاء وغموض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؛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فلهذا كانت الأودية أليق بالاستعارة.</w:t>
      </w:r>
    </w:p>
    <w:p w:rsidR="009B09BF" w:rsidRPr="009B09BF" w:rsidRDefault="009B09BF" w:rsidP="009B09BF">
      <w:pPr>
        <w:spacing w:after="120" w:line="240" w:lineRule="auto"/>
        <w:jc w:val="lowKashida"/>
        <w:rPr>
          <w:rFonts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وكذلك 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012" w:hAnsi="QCF_P012" w:cs="QCF_P012"/>
          <w:b/>
          <w:bCs/>
          <w:color w:val="008000"/>
          <w:sz w:val="20"/>
          <w:szCs w:val="20"/>
          <w:rtl/>
        </w:rPr>
        <w:t>ﮛ ﮜ ﮝ ﮞ ﮟ ﮠ ﮡ ﮢ ﮣ ﮤ ﮥ ﮦ ﮧ ﮨ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[البقرة: 81]، فقد صور من يقترف الذنوب ويرتكب الآثام لاعتياده عليها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وعدم استطاعته التخلص منها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وكأن الخطايا قد أحاطت به من كل اتجاه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فيعجز عن النفاذ منها والكفِّ عنها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وشبه هذه المبالغة في اقتراف الذنوب بالشيء يحيط بالشيء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والصفة المشتركة بينهما عدم التخلص في كلٍّ منهما.</w:t>
      </w:r>
    </w:p>
    <w:p w:rsidR="009B09BF" w:rsidRPr="009B09BF" w:rsidRDefault="009B09BF" w:rsidP="009B09B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="AL-Hotham"/>
          <w:b/>
          <w:bCs/>
          <w:sz w:val="20"/>
          <w:szCs w:val="20"/>
          <w:rtl/>
        </w:rPr>
      </w:pPr>
      <w:r w:rsidRPr="009B09BF">
        <w:rPr>
          <w:rFonts w:cs="AL-Hotham" w:hint="cs"/>
          <w:b/>
          <w:bCs/>
          <w:sz w:val="20"/>
          <w:szCs w:val="20"/>
          <w:rtl/>
        </w:rPr>
        <w:t xml:space="preserve">وهذه الصورة </w:t>
      </w:r>
      <w:r w:rsidRPr="009B09BF">
        <w:rPr>
          <w:rFonts w:cs="Traditional Arabic" w:hint="cs"/>
          <w:b/>
          <w:bCs/>
          <w:sz w:val="20"/>
          <w:szCs w:val="20"/>
          <w:rtl/>
        </w:rPr>
        <w:t>-</w:t>
      </w:r>
      <w:r w:rsidRPr="009B09BF">
        <w:rPr>
          <w:rFonts w:cs="AL-Hotham" w:hint="cs"/>
          <w:b/>
          <w:bCs/>
          <w:sz w:val="20"/>
          <w:szCs w:val="20"/>
          <w:rtl/>
        </w:rPr>
        <w:t>كما يذكر الفيروزآبادي، في: (بصائر ذوي التمييز)</w:t>
      </w:r>
      <w:r w:rsidRPr="009B09BF">
        <w:rPr>
          <w:rFonts w:cs="Traditional Arabic" w:hint="cs"/>
          <w:b/>
          <w:bCs/>
          <w:sz w:val="20"/>
          <w:szCs w:val="20"/>
          <w:rtl/>
        </w:rPr>
        <w:t>-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من بليغ الاستعارات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وذلك أن الإنسان إذا ارتكب ذنبًا واستمر عليه، دفعه إلى إتيان ما هو أعظم منه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فلا يزال يرتقي حتى يُطبع على قلبه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فلا يمكنه أن يخرج عن تعاطيه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وخذ قوله تعالى: 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{</w:t>
      </w:r>
      <w:r w:rsidRPr="009B09BF">
        <w:rPr>
          <w:rFonts w:ascii="QCF_P124" w:hAnsi="QCF_P124" w:cs="QCF_P124"/>
          <w:b/>
          <w:bCs/>
          <w:color w:val="008000"/>
          <w:sz w:val="20"/>
          <w:szCs w:val="20"/>
          <w:rtl/>
        </w:rPr>
        <w:t>ﮝ ﮞ ﮟ ﮠ ﮡ ﮢ ﮣ ﮤ ﮥ ﮦ ﮧ ﮨ ﮩ ﮪ ﮫ ﮬ</w:t>
      </w:r>
      <w:r w:rsidRPr="009B09BF">
        <w:rPr>
          <w:rFonts w:cs="DecoType Thuluth" w:hint="cs"/>
          <w:b/>
          <w:bCs/>
          <w:color w:val="008000"/>
          <w:sz w:val="20"/>
          <w:szCs w:val="20"/>
          <w:rtl/>
        </w:rPr>
        <w:t>}</w:t>
      </w:r>
      <w:r w:rsidRPr="009B09BF">
        <w:rPr>
          <w:rFonts w:cs="AL-Hotham" w:hint="cs"/>
          <w:b/>
          <w:bCs/>
          <w:color w:val="008000"/>
          <w:sz w:val="20"/>
          <w:szCs w:val="20"/>
          <w:rtl/>
        </w:rPr>
        <w:t xml:space="preserve"> </w:t>
      </w:r>
      <w:r w:rsidRPr="009B09BF">
        <w:rPr>
          <w:rFonts w:cs="AL-Hotham" w:hint="cs"/>
          <w:b/>
          <w:bCs/>
          <w:sz w:val="20"/>
          <w:szCs w:val="20"/>
          <w:rtl/>
        </w:rPr>
        <w:t>[المائدة: 100]، فإن الآية تعني: لا يستوي الحلال والحرام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فشبه الحلال بالطيب في حلاوته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وتقبل النفس له ترغيبًا فيه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وشبه الحرام بالخبيث في كراهيته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وعزوف النفس عنه تنفيرًا منه</w:t>
      </w:r>
      <w:r w:rsidRPr="009B09BF">
        <w:rPr>
          <w:rFonts w:cs="AL-Hotham" w:hint="cs"/>
          <w:b/>
          <w:bCs/>
          <w:sz w:val="20"/>
          <w:szCs w:val="20"/>
          <w:rtl/>
          <w:lang w:bidi="ar-EG"/>
        </w:rPr>
        <w:t>،</w:t>
      </w:r>
      <w:r w:rsidRPr="009B09BF">
        <w:rPr>
          <w:rFonts w:cs="AL-Hotham" w:hint="cs"/>
          <w:b/>
          <w:bCs/>
          <w:sz w:val="20"/>
          <w:szCs w:val="20"/>
          <w:rtl/>
        </w:rPr>
        <w:t xml:space="preserve"> ثم حذف المشبه في كلٍّ على سبيل الاستعارة التصريحية الأصلية.</w:t>
      </w:r>
    </w:p>
    <w:p w:rsidR="009B09BF" w:rsidRPr="009B09BF" w:rsidRDefault="009B09BF" w:rsidP="009B09B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 w:hint="cs"/>
          <w:b/>
          <w:bCs/>
          <w:sz w:val="20"/>
          <w:szCs w:val="20"/>
          <w:rtl/>
          <w:lang w:bidi="ar-IQ"/>
        </w:rPr>
        <w:t>المراجع والمصادر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lastRenderedPageBreak/>
        <w:t>أبو موسى، د. محمد محمد أبو موسى،   (دلالات التراكيب دراسة بلاغية) ، القاهرة، مكتبة وهبة للطباعة والنشر والتوزيع، 1987م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الخوارزمي ، الشيخ يوسف بن أبي بكر بن محمد بن علي الخوارزمي الملقب بسراج الدين</w:t>
      </w:r>
      <w:r w:rsidRPr="009B09BF">
        <w:rPr>
          <w:rFonts w:asciiTheme="majorBidi" w:hAnsiTheme="majorBidi" w:cs="AL-Hotham"/>
          <w:b/>
          <w:bCs/>
          <w:sz w:val="20"/>
          <w:szCs w:val="20"/>
          <w:lang w:bidi="ar-IQ"/>
        </w:rPr>
        <w:t xml:space="preserve"> </w:t>
      </w: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9B09BF" w:rsidRPr="009B09BF" w:rsidRDefault="009B09BF" w:rsidP="009B09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</w:pPr>
      <w:r w:rsidRPr="009B09BF">
        <w:rPr>
          <w:rFonts w:asciiTheme="majorBidi" w:hAnsiTheme="majorBidi" w:cs="AL-Hotham"/>
          <w:b/>
          <w:bCs/>
          <w:sz w:val="20"/>
          <w:szCs w:val="20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9B09BF" w:rsidRDefault="009B09BF" w:rsidP="009B09BF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="AL-Hotham"/>
          <w:sz w:val="32"/>
          <w:szCs w:val="32"/>
          <w:rtl/>
          <w:lang w:bidi="ar-IQ"/>
        </w:rPr>
        <w:sectPr w:rsidR="009B09BF" w:rsidSect="009B09BF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9B09BF" w:rsidRDefault="009B09BF" w:rsidP="009B09BF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="AL-Hotham"/>
          <w:sz w:val="32"/>
          <w:szCs w:val="32"/>
          <w:rtl/>
          <w:lang w:bidi="ar-IQ"/>
        </w:rPr>
      </w:pPr>
    </w:p>
    <w:p w:rsidR="009B09BF" w:rsidRPr="00E87483" w:rsidRDefault="009B09BF" w:rsidP="009B09BF">
      <w:pPr>
        <w:spacing w:after="120" w:line="520" w:lineRule="exact"/>
        <w:jc w:val="lowKashida"/>
        <w:rPr>
          <w:rFonts w:asciiTheme="majorBidi" w:hAnsiTheme="majorBidi" w:cs="AL-Hotham"/>
          <w:sz w:val="32"/>
          <w:szCs w:val="32"/>
          <w:rtl/>
        </w:rPr>
      </w:pPr>
    </w:p>
    <w:p w:rsidR="009B09BF" w:rsidRPr="00E87483" w:rsidRDefault="009B09BF" w:rsidP="009B09BF">
      <w:pPr>
        <w:spacing w:after="120" w:line="520" w:lineRule="exact"/>
        <w:jc w:val="lowKashida"/>
        <w:rPr>
          <w:rFonts w:asciiTheme="majorBidi" w:hAnsiTheme="majorBidi" w:cs="AL-Hotham"/>
          <w:sz w:val="32"/>
          <w:szCs w:val="32"/>
          <w:rtl/>
        </w:rPr>
      </w:pPr>
    </w:p>
    <w:p w:rsidR="009B09BF" w:rsidRPr="009B09BF" w:rsidRDefault="009B09BF" w:rsidP="009B09BF">
      <w:pPr>
        <w:spacing w:line="240" w:lineRule="auto"/>
        <w:rPr>
          <w:i/>
          <w:iCs/>
          <w:lang w:bidi="ar-EG"/>
        </w:rPr>
      </w:pPr>
    </w:p>
    <w:sectPr w:rsidR="009B09BF" w:rsidRPr="009B09BF" w:rsidSect="009B09BF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A Furat Regular"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17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3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3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4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6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48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4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70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5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4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4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6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37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1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12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99024F70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09BF"/>
    <w:rsid w:val="002A69E8"/>
    <w:rsid w:val="00514443"/>
    <w:rsid w:val="00641D4E"/>
    <w:rsid w:val="009238B5"/>
    <w:rsid w:val="009556CB"/>
    <w:rsid w:val="009B09BF"/>
    <w:rsid w:val="00A166C4"/>
    <w:rsid w:val="00BF7572"/>
    <w:rsid w:val="00E31726"/>
    <w:rsid w:val="00F9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09B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0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B09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1971</Words>
  <Characters>11237</Characters>
  <Application>Microsoft Office Word</Application>
  <DocSecurity>0</DocSecurity>
  <Lines>93</Lines>
  <Paragraphs>26</Paragraphs>
  <ScaleCrop>false</ScaleCrop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4</cp:revision>
  <dcterms:created xsi:type="dcterms:W3CDTF">2013-06-14T11:36:00Z</dcterms:created>
  <dcterms:modified xsi:type="dcterms:W3CDTF">2013-06-17T08:03:00Z</dcterms:modified>
</cp:coreProperties>
</file>