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83" w:rsidRDefault="00564883" w:rsidP="006D5D05">
      <w:pPr>
        <w:spacing w:line="240" w:lineRule="auto"/>
        <w:jc w:val="center"/>
        <w:rPr>
          <w:rFonts w:cs="AL-Hotham"/>
          <w:i/>
          <w:iCs/>
          <w:sz w:val="48"/>
          <w:szCs w:val="48"/>
          <w:rtl/>
          <w:lang w:bidi="ar-IQ"/>
        </w:rPr>
      </w:pPr>
      <w:r w:rsidRPr="00564883">
        <w:rPr>
          <w:rFonts w:ascii="Calibri" w:eastAsia="Calibri" w:hAnsi="Calibri" w:cs="AL-Hotham"/>
          <w:i/>
          <w:iCs/>
          <w:sz w:val="48"/>
          <w:szCs w:val="48"/>
          <w:rtl/>
        </w:rPr>
        <w:t>الاستعارة في القرآن والسنة</w:t>
      </w:r>
      <w:r w:rsidR="006D5D05">
        <w:rPr>
          <w:rFonts w:cs="AL-Hotham" w:hint="cs"/>
          <w:i/>
          <w:iCs/>
          <w:sz w:val="48"/>
          <w:szCs w:val="48"/>
          <w:rtl/>
          <w:lang w:bidi="ar-IQ"/>
        </w:rPr>
        <w:t xml:space="preserve"> </w:t>
      </w:r>
      <w:r w:rsidRPr="00564883">
        <w:rPr>
          <w:rFonts w:cs="AL-Hotham" w:hint="cs"/>
          <w:i/>
          <w:iCs/>
          <w:sz w:val="48"/>
          <w:szCs w:val="48"/>
          <w:rtl/>
          <w:lang w:bidi="ar-IQ"/>
        </w:rPr>
        <w:t>(2)</w:t>
      </w:r>
    </w:p>
    <w:p w:rsidR="00564883" w:rsidRPr="00E87483" w:rsidRDefault="00564883" w:rsidP="00564883">
      <w:pPr>
        <w:spacing w:line="240" w:lineRule="auto"/>
        <w:jc w:val="center"/>
        <w:rPr>
          <w:rFonts w:asciiTheme="majorBidi" w:hAnsiTheme="majorBidi" w:cs="AL-Hotham"/>
          <w:i/>
          <w:iCs/>
          <w:sz w:val="28"/>
          <w:szCs w:val="28"/>
          <w:rtl/>
        </w:rPr>
      </w:pPr>
      <w:r w:rsidRPr="00E87483">
        <w:rPr>
          <w:rFonts w:asciiTheme="majorBidi" w:hAnsiTheme="majorBidi" w:cs="AL-Hotham"/>
          <w:i/>
          <w:iCs/>
          <w:sz w:val="28"/>
          <w:szCs w:val="28"/>
          <w:rtl/>
        </w:rPr>
        <w:t xml:space="preserve">بحث  فى </w:t>
      </w:r>
      <w:r w:rsidRPr="00E87483">
        <w:rPr>
          <w:rFonts w:asciiTheme="majorBidi" w:hAnsiTheme="majorBidi" w:cs="AL-Hotham" w:hint="cs"/>
          <w:i/>
          <w:iCs/>
          <w:sz w:val="28"/>
          <w:szCs w:val="28"/>
          <w:rtl/>
        </w:rPr>
        <w:t>دراسات بلاغيه</w:t>
      </w:r>
    </w:p>
    <w:p w:rsidR="00564883" w:rsidRPr="00E87483" w:rsidRDefault="00564883" w:rsidP="005552DA">
      <w:pPr>
        <w:spacing w:line="240" w:lineRule="auto"/>
        <w:jc w:val="center"/>
        <w:rPr>
          <w:rFonts w:asciiTheme="majorBidi" w:hAnsiTheme="majorBidi" w:cs="AL-Hotham"/>
          <w:lang w:bidi="ar-EG"/>
        </w:rPr>
      </w:pPr>
      <w:r w:rsidRPr="00E87483">
        <w:rPr>
          <w:rFonts w:asciiTheme="majorBidi" w:hAnsiTheme="majorBidi" w:cs="AL-Hotham"/>
          <w:rtl/>
        </w:rPr>
        <w:t xml:space="preserve">إعداد أ/ </w:t>
      </w:r>
      <w:r w:rsidR="005552DA" w:rsidRPr="005552DA">
        <w:rPr>
          <w:rFonts w:asciiTheme="majorBidi" w:hAnsiTheme="majorBidi" w:cs="AL-Hotham"/>
          <w:rtl/>
          <w:lang w:bidi="ar-EG"/>
        </w:rPr>
        <w:t>أحمد عبد الحميد مهدي</w:t>
      </w:r>
    </w:p>
    <w:p w:rsidR="00564883" w:rsidRPr="00E87483" w:rsidRDefault="00564883" w:rsidP="00564883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قسم اللغة العربية</w:t>
      </w:r>
    </w:p>
    <w:p w:rsidR="00564883" w:rsidRPr="00E87483" w:rsidRDefault="00564883" w:rsidP="00564883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كلية اللغات – جامعة المدينة العالمية</w:t>
      </w:r>
    </w:p>
    <w:p w:rsidR="00564883" w:rsidRPr="00E87483" w:rsidRDefault="00564883" w:rsidP="00564883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  <w:rtl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شاه علم – ماليزيا</w:t>
      </w:r>
    </w:p>
    <w:p w:rsidR="00564883" w:rsidRPr="00E87483" w:rsidRDefault="005552DA" w:rsidP="00564883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5552DA">
        <w:rPr>
          <w:rFonts w:asciiTheme="majorBidi" w:hAnsiTheme="majorBidi" w:cs="AL-Hotham"/>
          <w:i/>
          <w:iCs/>
          <w:sz w:val="20"/>
          <w:szCs w:val="20"/>
          <w:lang w:bidi="ar-EG"/>
        </w:rPr>
        <w:t>ahmed.mahdey@mediu.ws</w:t>
      </w:r>
    </w:p>
    <w:p w:rsidR="00564883" w:rsidRDefault="00564883" w:rsidP="00564883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  <w:sectPr w:rsidR="00564883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564883" w:rsidRPr="00564883" w:rsidRDefault="00564883" w:rsidP="00564883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</w:rPr>
        <w:lastRenderedPageBreak/>
        <w:t>خلاصة</w:t>
      </w:r>
      <w:r w:rsidRPr="00564883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ـــ</w:t>
      </w:r>
      <w:r w:rsidRPr="00564883">
        <w:rPr>
          <w:rFonts w:asciiTheme="majorBidi" w:hAnsiTheme="majorBidi" w:cs="AL-Hotham"/>
          <w:b/>
          <w:bCs/>
          <w:sz w:val="20"/>
          <w:szCs w:val="20"/>
          <w:rtl/>
        </w:rPr>
        <w:t xml:space="preserve"> هذا البحث يبحث في </w:t>
      </w:r>
      <w:r w:rsidRPr="00564883">
        <w:rPr>
          <w:rFonts w:ascii="Calibri" w:eastAsia="Calibri" w:hAnsi="Calibri" w:cs="AL-Hotham"/>
          <w:b/>
          <w:bCs/>
          <w:sz w:val="20"/>
          <w:szCs w:val="20"/>
          <w:rtl/>
        </w:rPr>
        <w:t>الاستعارة في القرآن والسنة</w:t>
      </w:r>
    </w:p>
    <w:p w:rsidR="00564883" w:rsidRPr="00564883" w:rsidRDefault="00564883" w:rsidP="00564883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</w:rPr>
        <w:t>الكلمات المفتاحية</w:t>
      </w:r>
      <w:r w:rsidRPr="00564883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</w:t>
      </w:r>
      <w:r w:rsidRPr="00564883">
        <w:rPr>
          <w:rFonts w:asciiTheme="majorBidi" w:hAnsiTheme="majorBidi" w:cs="AL-Hotham"/>
          <w:b/>
          <w:bCs/>
          <w:sz w:val="20"/>
          <w:szCs w:val="20"/>
          <w:rtl/>
        </w:rPr>
        <w:t>: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الخاسرين</w:t>
      </w:r>
      <w:r w:rsidRPr="00564883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الثقيل</w:t>
      </w:r>
      <w:r w:rsidRPr="00564883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، </w:t>
      </w:r>
      <w:r w:rsidRPr="00564883">
        <w:rPr>
          <w:rFonts w:cs="AL-Hotham" w:hint="cs"/>
          <w:b/>
          <w:bCs/>
          <w:sz w:val="20"/>
          <w:szCs w:val="20"/>
          <w:rtl/>
        </w:rPr>
        <w:t>الظهر</w:t>
      </w:r>
    </w:p>
    <w:p w:rsidR="00564883" w:rsidRPr="00564883" w:rsidRDefault="00564883" w:rsidP="00564883">
      <w:pPr>
        <w:pStyle w:val="a4"/>
        <w:numPr>
          <w:ilvl w:val="0"/>
          <w:numId w:val="1"/>
        </w:numPr>
        <w:spacing w:after="120"/>
        <w:jc w:val="center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</w:rPr>
        <w:t>المقدمة</w:t>
      </w:r>
    </w:p>
    <w:p w:rsidR="00564883" w:rsidRPr="00564883" w:rsidRDefault="00564883" w:rsidP="00564883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564883">
        <w:rPr>
          <w:rFonts w:ascii="Calibri" w:eastAsia="Calibri" w:hAnsi="Calibri" w:cs="AL-Hotham"/>
          <w:b/>
          <w:bCs/>
          <w:sz w:val="20"/>
          <w:szCs w:val="20"/>
          <w:rtl/>
        </w:rPr>
        <w:t>الاستعارة في القرآن والسنة</w:t>
      </w:r>
    </w:p>
    <w:p w:rsidR="00564883" w:rsidRPr="00564883" w:rsidRDefault="00564883" w:rsidP="00564883">
      <w:pPr>
        <w:pStyle w:val="a3"/>
        <w:numPr>
          <w:ilvl w:val="0"/>
          <w:numId w:val="1"/>
        </w:numPr>
        <w:bidi/>
        <w:spacing w:before="0" w:beforeAutospacing="0" w:after="120" w:afterAutospacing="0"/>
        <w:jc w:val="center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</w:rPr>
        <w:t>عنوان المقال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pacing w:val="-8"/>
          <w:sz w:val="20"/>
          <w:szCs w:val="20"/>
          <w:rtl/>
        </w:rPr>
        <w:t xml:space="preserve">كما يعني قوله تعالى: </w:t>
      </w:r>
      <w:r w:rsidRPr="00564883">
        <w:rPr>
          <w:rFonts w:cs="DecoType Thuluth" w:hint="cs"/>
          <w:b/>
          <w:bCs/>
          <w:color w:val="008000"/>
          <w:spacing w:val="-8"/>
          <w:sz w:val="20"/>
          <w:szCs w:val="20"/>
          <w:rtl/>
        </w:rPr>
        <w:t>{</w:t>
      </w:r>
      <w:r w:rsidRPr="00564883">
        <w:rPr>
          <w:rFonts w:ascii="QCF_P131" w:hAnsi="QCF_P131" w:cs="QCF_P131"/>
          <w:b/>
          <w:bCs/>
          <w:color w:val="008000"/>
          <w:spacing w:val="-8"/>
          <w:sz w:val="20"/>
          <w:szCs w:val="20"/>
          <w:rtl/>
        </w:rPr>
        <w:t>ﮄ ﮅ ﮆ ﮇ ﮈ ﮉ ﮊ ﮋ ﮌ ﮍ ﮎ ﮏ ﮐ ﮑ ﮒ ﮓ ﮔ ﮕ ﮖ ﮗ ﮘ ﮙ ﮚ ﮛ ﮜ ﮝ ﮞ ﮟ</w:t>
      </w:r>
      <w:r w:rsidRPr="00564883">
        <w:rPr>
          <w:rFonts w:cs="DecoType Thuluth" w:hint="cs"/>
          <w:b/>
          <w:bCs/>
          <w:color w:val="008000"/>
          <w:spacing w:val="-8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pacing w:val="-8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pacing w:val="-8"/>
          <w:sz w:val="20"/>
          <w:szCs w:val="20"/>
          <w:rtl/>
        </w:rPr>
        <w:t>[الأنعام: 31]؛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لأنك ترى أن المتحدث عنهم من الخاسرين، يحملون آثامهم وذنوبهم؛ لكثرتها وثِقلها على ظهورهم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وهذا دون أشك أبلغ في بيان شدة عذابهم والأهوال التي يلاقونها بسبب ذنوبهم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فالشيء الثقيل قد يُحمل باليد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فإن أفرط ثقله حُمل على الكتف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فإذا أفرط ثقله حُمل على الظهر، فشبه شدة مشقة العذاب بأثقل الأشياء المحمولة على الظهور؛ لتعذر حملها على الأكتاف والأيدي، كما شبه أيضًا الذنوب بالأثقال في مشقة حملها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ففي الآية استعارتان: 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>الأولى: حين استعار الحمل على الظهور، الذي لا يكون إلا للثقيل من الأشياء؛ للعذاب الشاق الشديد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.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>والثانية: حين استعار الأوزار للذنوب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وقد صرح فيهما بلفظ المشبه به دون المشبه.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 xml:space="preserve">كما يعني قوله تعالى: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313" w:hAnsi="QCF_P313" w:cs="QCF_P313"/>
          <w:b/>
          <w:bCs/>
          <w:color w:val="008000"/>
          <w:sz w:val="20"/>
          <w:szCs w:val="20"/>
          <w:rtl/>
        </w:rPr>
        <w:t>ﯡ ﯢ ﯣ ﯤ ﯥ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ascii="QCF_P313" w:hAnsi="QCF_P313" w:cs="QCF_P313"/>
          <w:b/>
          <w:bCs/>
          <w:color w:val="008000"/>
          <w:sz w:val="20"/>
          <w:szCs w:val="20"/>
          <w:rtl/>
        </w:rPr>
        <w:t>ﯦ ﯧ ﯨ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>[طه:27</w:t>
      </w:r>
      <w:r w:rsidRPr="00564883">
        <w:rPr>
          <w:rFonts w:cs="Traditional Arabic" w:hint="cs"/>
          <w:b/>
          <w:bCs/>
          <w:sz w:val="20"/>
          <w:szCs w:val="20"/>
          <w:rtl/>
        </w:rPr>
        <w:t>-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28]: أزِلْ ما أصابني من عيب في لساني، حتى أبين في الكلام، فيفهموا عني ما أودُّ تبليغه لهم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والكلام هنا لسيدنا موسى </w:t>
      </w:r>
      <w:r w:rsidRPr="00564883">
        <w:rPr>
          <w:rFonts w:cs="SC_ALYERMOOK" w:hint="cs"/>
          <w:b/>
          <w:bCs/>
          <w:position w:val="-4"/>
          <w:sz w:val="20"/>
          <w:szCs w:val="20"/>
          <w:rtl/>
        </w:rPr>
        <w:t>#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فشبه الإزالة بالحَل أولًا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وشبه عيب اللسان باللثغة، بعيب الحبل بما يُعقد فيه من العقد التي لا حاجة إليها ثانيًا.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>إذًا هنا استعارتان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استعارة الحَل للإزالة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واستعارة العقدة للعيب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وفي كلٍّ منهما صرح بلفظ المشبه به دون المشبه.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 xml:space="preserve">وفي قوله تعالى: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509" w:hAnsi="QCF_P509" w:cs="QCF_P509"/>
          <w:b/>
          <w:bCs/>
          <w:color w:val="008000"/>
          <w:sz w:val="20"/>
          <w:szCs w:val="20"/>
          <w:rtl/>
        </w:rPr>
        <w:t>ﯰ ﯱ ﯲ ﯳ ﯴ ﯵ ﯶ ﯷ ﯸ ﯹ ﯺ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[محمد: 29]، نرى المعنى: أن القرآن يستنكر على هؤلاء المنافقين ظنهم خفاء ما يضمرونه من ضغائن وأحقاد للرسول </w:t>
      </w:r>
      <w:r w:rsidRPr="00564883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وبالمؤمنين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وأن ذلك سيظل مستورًا لا ينكشف لأحد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فسمى نفاقهم مرضًا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وحقيقة المرض هو الفساد الذي يعتري الأجسام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فيفضي إلى الهلاك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واستعمل هنا في الكفر، والنفاق، والحقد الذي يفسد القلب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ويؤدي به إلى الهلاك </w:t>
      </w:r>
      <w:r w:rsidRPr="00564883">
        <w:rPr>
          <w:rFonts w:cs="Traditional Arabic" w:hint="cs"/>
          <w:b/>
          <w:bCs/>
          <w:sz w:val="20"/>
          <w:szCs w:val="20"/>
          <w:rtl/>
        </w:rPr>
        <w:t>-</w:t>
      </w:r>
      <w:r w:rsidRPr="00564883">
        <w:rPr>
          <w:rFonts w:cs="AL-Hotham" w:hint="cs"/>
          <w:b/>
          <w:bCs/>
          <w:sz w:val="20"/>
          <w:szCs w:val="20"/>
          <w:rtl/>
        </w:rPr>
        <w:t>والعياذ بالله.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>فشبه المرض النفسي بالمرض الجسمي، إذ أن كلًّا منهما يُتلف المرء وينغص عليه حياته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وصرح هنا بالمشبه به دون المشبه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والاستعارة أبلغ؛ لأن الأمراض الجسدية ظاهرة للعين بادية الأثر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بينما غير الظاهرة قلَّما يفطن إليها أحد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ومن ثَم نبَّه القرآن عليها، محذِّرًا منها كل مَن يريد لنفسه الصلاح والإصلاح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والصحة من العلل.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lastRenderedPageBreak/>
        <w:t xml:space="preserve">وقوله تعالى: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539" w:hAnsi="QCF_P539" w:cs="QCF_P539"/>
          <w:b/>
          <w:bCs/>
          <w:color w:val="008000"/>
          <w:sz w:val="20"/>
          <w:szCs w:val="20"/>
          <w:rtl/>
        </w:rPr>
        <w:t>ﯮ ﯯ ﯰ ﯱ ﯲ ﯳ ﯴ ﯵ ﯶ ﯷ ﯸ ﯹ ﯺ ﯻ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>[الحديد: 17]، وهذا يعني: أن الله قادر على أن يدخل الرحمة واللين على القلوب بعد قسوتها وغلظتها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فقدرته على إحياء الأرض بعد موتها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وموت الأرض وإحياؤها ليس حقيقة؛ إذ لا روح فيها حتى يجري عليها الموت والحياة، وإنما المراد أن تتحوَّل الأرض القاحلة الجرداء، إلى أرض مزدهرة بأنواع النبات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فشبه يبس الأرض وجفافها بالموت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وشبه ازدهار النبات فيها بالحياة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وصرح بلفظ المشبه به دون المشبه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ويتكرر هذا كثيرًا في القرآن الكريم؛ لإثبات البعث الذي ينكره أهل الكفر والشرك </w:t>
      </w:r>
      <w:r w:rsidRPr="00564883">
        <w:rPr>
          <w:rFonts w:cs="Traditional Arabic" w:hint="cs"/>
          <w:b/>
          <w:bCs/>
          <w:sz w:val="20"/>
          <w:szCs w:val="20"/>
          <w:rtl/>
        </w:rPr>
        <w:t>-</w:t>
      </w:r>
      <w:r w:rsidRPr="00564883">
        <w:rPr>
          <w:rFonts w:cs="AL-Hotham" w:hint="cs"/>
          <w:b/>
          <w:bCs/>
          <w:sz w:val="20"/>
          <w:szCs w:val="20"/>
          <w:rtl/>
        </w:rPr>
        <w:t>والعياذ بالله.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pacing w:val="-4"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 xml:space="preserve">كما يعني قوله تعالى: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278" w:hAnsi="QCF_P278" w:cs="QCF_P278"/>
          <w:b/>
          <w:bCs/>
          <w:color w:val="008000"/>
          <w:sz w:val="20"/>
          <w:szCs w:val="20"/>
          <w:rtl/>
        </w:rPr>
        <w:t>ﭑ ﭒ ﭓ ﭔ ﭕ ﭖ ﭗ ﭘ ﭙ ﭚ ﭛ ﭜ ﭝ ﭞ ﭟ ﭠ ﭡ</w:t>
      </w:r>
      <w:r w:rsidRPr="00564883">
        <w:rPr>
          <w:rFonts w:ascii="QCF_P278" w:hAnsi="QCF_P278" w:cs="DecoType Thuluth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>[النحل: 94]، والمعنى: لا تتخذوا أيمانكم وسيلةً للغدر والخيانة والإفساد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فإن مَن يقترف هذا الإثم شأنه شأن من 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>يقف راسخًا بقدم ثابتة على أرض مطمأنة</w:t>
      </w:r>
      <w:r w:rsidRPr="00564883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 xml:space="preserve"> فإذا بقدمه تزلُّ ويصيبه العثار</w:t>
      </w:r>
      <w:r w:rsidRPr="00564883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 xml:space="preserve"> والمراد: أن يُشبه من ينحرف عن الدين القويم</w:t>
      </w:r>
      <w:r w:rsidRPr="00564883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 xml:space="preserve"> وينأى عن حجة الإسلام، بمن زلَّت قدمه عن طريقه، وسقط خارجًا عنها</w:t>
      </w:r>
      <w:r w:rsidRPr="00564883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 xml:space="preserve"> وصرح هنا بلفظ المشبه به دون المشبه.</w:t>
      </w:r>
    </w:p>
    <w:p w:rsidR="00564883" w:rsidRPr="00564883" w:rsidRDefault="00564883" w:rsidP="00564883">
      <w:pPr>
        <w:spacing w:after="120" w:line="240" w:lineRule="auto"/>
        <w:jc w:val="both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 xml:space="preserve">ويحكي قوله تعالى: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273" w:hAnsi="QCF_P273" w:cs="QCF_P273"/>
          <w:b/>
          <w:bCs/>
          <w:color w:val="008000"/>
          <w:sz w:val="20"/>
          <w:szCs w:val="20"/>
          <w:rtl/>
        </w:rPr>
        <w:t>ﭱ ﭲ ﭳ ﭴ ﭵ ﭶ ﭷ ﭸ ﭹ ﭺ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ascii="QCF_P273" w:hAnsi="QCF_P273" w:cs="QCF_P273"/>
          <w:b/>
          <w:bCs/>
          <w:color w:val="008000"/>
          <w:sz w:val="20"/>
          <w:szCs w:val="20"/>
          <w:rtl/>
        </w:rPr>
        <w:t>ﭻ ﭼ ﭽ ﭾ ﭿ ﮀ ﮁ ﮂ ﮃ ﮄ ﮅ ﮆ ﮇ ﮈ ﮉ ﮊ ﮋ ﮌ ﮍ ﮎ ﮏ ﮐ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>[النحل:58</w:t>
      </w:r>
      <w:r w:rsidRPr="00564883">
        <w:rPr>
          <w:rFonts w:cs="Traditional Arabic" w:hint="cs"/>
          <w:b/>
          <w:bCs/>
          <w:sz w:val="20"/>
          <w:szCs w:val="20"/>
          <w:rtl/>
        </w:rPr>
        <w:t>-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59]، ما كان من العرب في الجاهلية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ذلك أن الواحد منهم كان إذا بُشر بالأنثى اسود وجهه ألمًا وغمًّا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وامتلأ غيظًا وهمًّا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وتوارى عن أنظار عشيرته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فلا يدري أيبكي الوليد على هون ومذلة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أم يئده في التراب ويدفنه حيًّا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؟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فشبه هنا قبح الكآبة وقتامة الحزن الذي يعلو وجهه، بسواد الوجه؛ لاشتراكهما في القبح وبشاعة المنظر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فصرح بالمشبه به وحذف المشبه، على سبيل الاستعارة التصريحية.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 xml:space="preserve">وقوله تعالى: </w:t>
      </w:r>
      <w:r w:rsidRPr="00564883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{</w:t>
      </w:r>
      <w:r w:rsidRPr="00564883">
        <w:rPr>
          <w:rFonts w:ascii="QCF_P015" w:hAnsi="QCF_P015" w:cs="QCF_P015"/>
          <w:b/>
          <w:bCs/>
          <w:color w:val="008000"/>
          <w:spacing w:val="-4"/>
          <w:sz w:val="20"/>
          <w:szCs w:val="20"/>
          <w:rtl/>
        </w:rPr>
        <w:t>ﯣ ﯤ ﯥ ﯦ ﯧ ﯨ ﯩ ﯪ ﯫ ﯬ ﯭ ﯮ ﯯ ﯰ ﯱ ﯲ ﯳ ﯴ ﯵ ﯶ ﯷ ﯸ</w:t>
      </w:r>
      <w:r w:rsidRPr="00564883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>[البقرة: 101]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، إذ المعنى: أن اليهود الذين أوتوا الكتاب </w:t>
      </w:r>
      <w:r w:rsidRPr="00564883">
        <w:rPr>
          <w:rFonts w:cs="Traditional Arabic" w:hint="cs"/>
          <w:b/>
          <w:bCs/>
          <w:sz w:val="20"/>
          <w:szCs w:val="20"/>
          <w:rtl/>
        </w:rPr>
        <w:t>-</w:t>
      </w:r>
      <w:r w:rsidRPr="00564883">
        <w:rPr>
          <w:rFonts w:cs="AL-Hotham" w:hint="cs"/>
          <w:b/>
          <w:bCs/>
          <w:sz w:val="20"/>
          <w:szCs w:val="20"/>
          <w:rtl/>
        </w:rPr>
        <w:t>وهو التوراة</w:t>
      </w:r>
      <w:r w:rsidRPr="00564883">
        <w:rPr>
          <w:rFonts w:cs="Traditional Arabic" w:hint="cs"/>
          <w:b/>
          <w:bCs/>
          <w:sz w:val="20"/>
          <w:szCs w:val="20"/>
          <w:rtl/>
        </w:rPr>
        <w:t>-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كذبوا القرآن؛ كتاب الله وخالفوه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وكفروا بما جاء به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فشبه ترك الالتفات إلى كتاب الله، وعدم الاهتمام به واتباعه، بمن ألقى شيئًا وراء ظهره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فهو لا يُقبل عليه ولا يكترث به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فالنبذ في حقيقته طرح الشيء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واستعمل هنا في عدم الاتباع؛ لتبدو في صورة محسوسة تقع أمام البصر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ونتمثل رؤيتها في وضوح.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pacing w:val="-10"/>
          <w:sz w:val="20"/>
          <w:szCs w:val="20"/>
          <w:rtl/>
        </w:rPr>
        <w:t xml:space="preserve">ومثله قوله تعالى: </w:t>
      </w:r>
      <w:r w:rsidRPr="00564883">
        <w:rPr>
          <w:rFonts w:cs="DecoType Thuluth" w:hint="cs"/>
          <w:b/>
          <w:bCs/>
          <w:color w:val="008000"/>
          <w:spacing w:val="-10"/>
          <w:sz w:val="20"/>
          <w:szCs w:val="20"/>
          <w:rtl/>
        </w:rPr>
        <w:t>{</w:t>
      </w:r>
      <w:r w:rsidRPr="00564883">
        <w:rPr>
          <w:rFonts w:ascii="QCF_P075" w:hAnsi="QCF_P075" w:cs="QCF_P075"/>
          <w:b/>
          <w:bCs/>
          <w:color w:val="008000"/>
          <w:spacing w:val="-10"/>
          <w:sz w:val="20"/>
          <w:szCs w:val="20"/>
          <w:rtl/>
        </w:rPr>
        <w:t>ﭑ ﭒ ﭓ ﭔ ﭕ ﭖ ﭗ ﭘ ﭙ ﭚ ﭛ ﭜ ﭝ ﭞ ﭟ ﭠ ﭡ ﭢ ﭣ ﭤ ﭥ ﭦ</w:t>
      </w:r>
      <w:r w:rsidRPr="00564883">
        <w:rPr>
          <w:rFonts w:cs="DecoType Thuluth" w:hint="cs"/>
          <w:b/>
          <w:bCs/>
          <w:color w:val="008000"/>
          <w:spacing w:val="-1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pacing w:val="-1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pacing w:val="-10"/>
          <w:sz w:val="20"/>
          <w:szCs w:val="20"/>
          <w:rtl/>
        </w:rPr>
        <w:t>[آل عمران: 187]</w:t>
      </w:r>
      <w:r w:rsidRPr="00564883">
        <w:rPr>
          <w:rFonts w:cs="AL-Hotham" w:hint="cs"/>
          <w:b/>
          <w:bCs/>
          <w:sz w:val="20"/>
          <w:szCs w:val="20"/>
          <w:rtl/>
        </w:rPr>
        <w:t>، فشبه من يترك العمل بكتاب الله استهانةً به، بمن كان معه شيء محتقر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فنبذه وألقاه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وهذا الكلام قد أشار إليه العز بن عبد السلام، في كتابه: (الإشارة إلى الإيجاز).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>هكذا نرى القرآن الكريم، في كثير من المواضع يعبر بالصورة الملموسة المحسوسة عن المعنى الذهني أو الحالة النفسية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فتتوثق صلة القارئ بالمعنى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وتستقر في ذهنه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وتؤثر في فؤاده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وتتجاوب أصداؤها في نفسه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فيمتلئ بها إحساسًا وشعورًا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ويتقيظ إلى ما فيها من مغزًى واضح جلي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أو خفي مستور.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lastRenderedPageBreak/>
        <w:t xml:space="preserve">ومن أمثلة الاستعارة القرآنية، قوله تعالى: </w:t>
      </w:r>
      <w:r w:rsidRPr="00564883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{</w:t>
      </w:r>
      <w:r w:rsidRPr="00564883">
        <w:rPr>
          <w:rFonts w:ascii="QCF_P295" w:hAnsi="QCF_P295" w:cs="QCF_P295"/>
          <w:b/>
          <w:bCs/>
          <w:color w:val="008000"/>
          <w:spacing w:val="-6"/>
          <w:sz w:val="20"/>
          <w:szCs w:val="20"/>
          <w:rtl/>
        </w:rPr>
        <w:t>ﭦ ﭧ ﭨ ﭩ ﭪ ﭫ ﭬ ﭭ ﭮ ﭯ ﭰ ﭱ ﭲ ﭳ ﭴ ﭵ ﭶ ﭷ</w:t>
      </w:r>
      <w:r w:rsidRPr="00564883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pacing w:val="-6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>[الكهف: 17]</w:t>
      </w:r>
      <w:r w:rsidRPr="00564883">
        <w:rPr>
          <w:rFonts w:cs="AL-Hotham" w:hint="cs"/>
          <w:b/>
          <w:bCs/>
          <w:sz w:val="20"/>
          <w:szCs w:val="20"/>
          <w:rtl/>
        </w:rPr>
        <w:t>، أي: إذا طلعت الشمس تميل عن الكهف الذي ينام فيه أولئك الفتية الوارد ذكرهم في سورة الكهف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ومعهم كلبهم من جهة اليمين حتى لا يقع شعاعها عليهم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فيؤذيهم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وعند غروبها: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295" w:hAnsi="QCF_P295" w:cs="QCF_P295"/>
          <w:b/>
          <w:bCs/>
          <w:color w:val="008000"/>
          <w:sz w:val="20"/>
          <w:szCs w:val="20"/>
          <w:rtl/>
        </w:rPr>
        <w:t>ﭱ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sz w:val="20"/>
          <w:szCs w:val="20"/>
          <w:rtl/>
        </w:rPr>
        <w:t>، أي: تقطعهم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ولا تقربهم، أي: تتجاوزهم الشمس وتتركهم على شمالها، أي: أن الشمس تميل عنهم يمينًا وشمالًا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ولا تحوم حولهم في نهارهم كله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فالاستعارة في: "تقرض"؛ لأن حقيقة القرض القطع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ولكنه استعارها هنا لسرعة ارتجاعها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فقد كانت الشمس تطلع عندهم فلا تمكث إلا قليلًا بقدر ما تصلح المكان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وتجدد الهواء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 xml:space="preserve">، </w:t>
      </w:r>
      <w:r w:rsidRPr="00564883">
        <w:rPr>
          <w:rFonts w:cs="AL-Hotham" w:hint="cs"/>
          <w:b/>
          <w:bCs/>
          <w:sz w:val="20"/>
          <w:szCs w:val="20"/>
          <w:rtl/>
        </w:rPr>
        <w:t>ثم تميل عنهم ولا تصيبهم.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كما يعني قوله تعالى: </w:t>
      </w:r>
      <w:r w:rsidRPr="00564883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{</w:t>
      </w:r>
      <w:r w:rsidRPr="00564883">
        <w:rPr>
          <w:rFonts w:ascii="QCF_P063" w:hAnsi="QCF_P063" w:cs="QCF_P063"/>
          <w:b/>
          <w:bCs/>
          <w:color w:val="008000"/>
          <w:spacing w:val="-6"/>
          <w:sz w:val="20"/>
          <w:szCs w:val="20"/>
          <w:rtl/>
        </w:rPr>
        <w:t>ﭱ ﭲ ﭳ ﭴ ﭵ ﭶ</w:t>
      </w:r>
      <w:r w:rsidRPr="00564883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pacing w:val="-6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>[آل عمران: 103]</w:t>
      </w:r>
      <w:r w:rsidRPr="00564883">
        <w:rPr>
          <w:rFonts w:cs="AL-Hotham" w:hint="cs"/>
          <w:b/>
          <w:bCs/>
          <w:sz w:val="20"/>
          <w:szCs w:val="20"/>
          <w:rtl/>
        </w:rPr>
        <w:t>: تمسكوا بدين الإسلام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فلفظ: "الحبل"، مستعار لدين الإسلام، أو تمسكوا بكتاب الإسلام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فيكون مستعارًا للقرآن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فكلاهما يشبه الحبل في كونه سببًا للنجاة من الردى، والوصول إلى المطلوب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فمن سلك طريقًا صعبًا لا يأمن أن تنزلق قدمه فيه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إذا تمسك بحبل مشدود الطرفين، أمِن العثار والسقوط، وهكذا من يتمسك بالقرآن العظيم فإنه يأمن، كالمتمسك بالحبل المتين.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وكذلك قوله تعالى: </w:t>
      </w:r>
      <w:r w:rsidRPr="00564883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{</w:t>
      </w:r>
      <w:r w:rsidRPr="00564883">
        <w:rPr>
          <w:rFonts w:ascii="QCF_P063" w:hAnsi="QCF_P063" w:cs="QCF_P063"/>
          <w:b/>
          <w:bCs/>
          <w:color w:val="008000"/>
          <w:spacing w:val="-6"/>
          <w:sz w:val="20"/>
          <w:szCs w:val="20"/>
          <w:rtl/>
        </w:rPr>
        <w:t>ﮅ ﮆ ﮇ ﮈ ﮉ ﮊ ﮋ ﮌ</w:t>
      </w:r>
      <w:r w:rsidRPr="00564883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pacing w:val="-6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>[آل عمران: 103]</w:t>
      </w:r>
      <w:r w:rsidRPr="00564883">
        <w:rPr>
          <w:rFonts w:cs="AL-Hotham" w:hint="cs"/>
          <w:b/>
          <w:bCs/>
          <w:sz w:val="20"/>
          <w:szCs w:val="20"/>
          <w:rtl/>
        </w:rPr>
        <w:t>؛ فإنه يعني: أنكم كنتم مشرفين على الوقوع في نار جهنم بكفركم؛ إذ لو أدرككم الموت وأنتم على هذه الحال؛ لدخلتم جهنم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فاستعار: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063" w:hAnsi="QCF_P063" w:cs="QCF_P063"/>
          <w:b/>
          <w:bCs/>
          <w:color w:val="008000"/>
          <w:sz w:val="20"/>
          <w:szCs w:val="20"/>
          <w:rtl/>
        </w:rPr>
        <w:t>ﮇ ﮈ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sz w:val="20"/>
          <w:szCs w:val="20"/>
          <w:rtl/>
        </w:rPr>
        <w:t>، أي: القعود على حرف النار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والإشراف على الوقوع فيها، ببيان حالتهم التي تتوقع بعد الوقوع في النار، إلا أن الله نجَّاهم من هذه العقوبة الأليمة بعدما ألَّف بين القلوب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وأصبحوا بنعمة الله إخوانًا. 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pacing w:val="-8"/>
          <w:sz w:val="20"/>
          <w:szCs w:val="20"/>
          <w:rtl/>
        </w:rPr>
        <w:t xml:space="preserve">وعلى العكس مما سبق، نرى قوله تعالى: </w:t>
      </w:r>
      <w:r w:rsidRPr="00564883">
        <w:rPr>
          <w:rFonts w:cs="DecoType Thuluth" w:hint="cs"/>
          <w:b/>
          <w:bCs/>
          <w:color w:val="008000"/>
          <w:spacing w:val="-8"/>
          <w:sz w:val="20"/>
          <w:szCs w:val="20"/>
          <w:rtl/>
        </w:rPr>
        <w:t>{</w:t>
      </w:r>
      <w:r w:rsidRPr="00564883">
        <w:rPr>
          <w:rFonts w:ascii="QCF_P064" w:hAnsi="QCF_P064" w:cs="QCF_P064"/>
          <w:b/>
          <w:bCs/>
          <w:color w:val="008000"/>
          <w:spacing w:val="-8"/>
          <w:sz w:val="20"/>
          <w:szCs w:val="20"/>
          <w:rtl/>
        </w:rPr>
        <w:t>ﮅ ﮆ ﮇ ﮈ ﮉ ﮊ ﮋ ﮌ ﮍ ﮎ ﮏ ﮐ ﮑ ﮒ ﮓ ﮔ ﮕ ﮖ ﮗ ﮘ</w:t>
      </w:r>
      <w:r w:rsidRPr="00564883">
        <w:rPr>
          <w:rFonts w:cs="DecoType Thuluth" w:hint="cs"/>
          <w:b/>
          <w:bCs/>
          <w:color w:val="008000"/>
          <w:spacing w:val="-8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pacing w:val="-8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pacing w:val="-8"/>
          <w:sz w:val="20"/>
          <w:szCs w:val="20"/>
          <w:rtl/>
        </w:rPr>
        <w:t>[آل عمران: 112]</w:t>
      </w:r>
      <w:r w:rsidRPr="00564883">
        <w:rPr>
          <w:rFonts w:cs="AL-Hotham" w:hint="cs"/>
          <w:b/>
          <w:bCs/>
          <w:sz w:val="20"/>
          <w:szCs w:val="20"/>
          <w:rtl/>
        </w:rPr>
        <w:t>؛ فالآية هنا، تصف حال اليهود بأنهم أُلزموا الذل، بإهدار الأنفس والأموال والأهلين؛ بحيث صار كشيءٍ يُضرب على الشيء فيحيط به، أي: عمهم الله بالإذلال والهوان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والسقوط من أعين الناس في أي مكان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وأي زمان وُجدوا في دار الإسلام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وأحاطت بهم هذه النظرة، كإحاطة القُبة بمن تُضرب عليه في جميع الأحوال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إلا حال كونهم معتصمين بذمة الله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وذمة المسلمين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 xml:space="preserve">، </w:t>
      </w:r>
      <w:r w:rsidRPr="00564883">
        <w:rPr>
          <w:rFonts w:cs="AL-Hotham" w:hint="cs"/>
          <w:b/>
          <w:bCs/>
          <w:sz w:val="20"/>
          <w:szCs w:val="20"/>
          <w:rtl/>
        </w:rPr>
        <w:t>فاستعير الحبل للعهد؛ لأنه سبب للنجاة والفوز بالمراد.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 xml:space="preserve">ثم يُمعن القرآن في بيان حالهم، فيقول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064" w:hAnsi="QCF_P064" w:cs="QCF_P064"/>
          <w:b/>
          <w:bCs/>
          <w:color w:val="008000"/>
          <w:sz w:val="20"/>
          <w:szCs w:val="20"/>
          <w:rtl/>
        </w:rPr>
        <w:t>ﮒ ﮓ ﮔ ﮕ</w:t>
      </w:r>
      <w:r w:rsidRPr="00564883">
        <w:rPr>
          <w:rFonts w:ascii="QCF_P064" w:hAnsi="QCF_P064" w:cs="DecoType Thuluth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sz w:val="20"/>
          <w:szCs w:val="20"/>
          <w:rtl/>
        </w:rPr>
        <w:t>، أي: رجعوا بغضب شديد يستحقونه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وأحاطهم بالمسكنة في جميع جوانبهم، وكان اليهود في غالب الأمر فقراء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إما بحسب الواقع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أو بتظاهرهم بالفقر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وإن كانوا أغنياء موسرين في واقع الحال.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064" w:hAnsi="QCF_P064" w:cs="QCF_P064"/>
          <w:b/>
          <w:bCs/>
          <w:color w:val="008000"/>
          <w:sz w:val="20"/>
          <w:szCs w:val="20"/>
          <w:rtl/>
        </w:rPr>
        <w:t>ﮖ ﮗ ﮘ</w:t>
      </w:r>
      <w:r w:rsidRPr="00564883">
        <w:rPr>
          <w:rFonts w:ascii="QCF_P064" w:hAnsi="QCF_P064" w:cs="DecoType Thuluth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sz w:val="20"/>
          <w:szCs w:val="20"/>
          <w:rtl/>
        </w:rPr>
        <w:t>، تعني: أحاطت بهم كإحاطة القبة بمن تحتها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أو كإحاطة السوار بالمعصم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بحيث يشملهم من جميع جوانبهم، ولا يكاد يترك منهم أحدًا دون أن تدور حوله هذه المسكنة. </w:t>
      </w:r>
    </w:p>
    <w:p w:rsidR="00564883" w:rsidRPr="00564883" w:rsidRDefault="00564883" w:rsidP="00564883">
      <w:pPr>
        <w:spacing w:after="120" w:line="240" w:lineRule="auto"/>
        <w:jc w:val="both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 xml:space="preserve">ونرى في قوله الله تعالى: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065" w:hAnsi="QCF_P065" w:cs="QCF_P065"/>
          <w:b/>
          <w:bCs/>
          <w:color w:val="008000"/>
          <w:sz w:val="20"/>
          <w:szCs w:val="20"/>
          <w:rtl/>
        </w:rPr>
        <w:t>ﭿ ﮀ ﮁ ﮂ ﮃ ﮄ ﮅ ﮆ ﮇ ﮈ ﮉ ﮊ ﮋ ﮌ ﮍ ﮎ ﮏ ﮐ ﮑ ﮒ ﮓ ﮔ ﮕ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>[آل عمران: 118]، معالجة لأشد ما يُعانيه المسلمون في زماننا من ولاء لأهل الكفر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وإنما جاء النداء لأهل الإيمان، بغرض التحذير ممن يعلم الله خباياهم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ولا يُضمرون للمسلمين إلا كل حقد وبغض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كما جاء في قوله تعالى: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016" w:hAnsi="QCF_P016" w:cs="QCF_P016"/>
          <w:b/>
          <w:bCs/>
          <w:color w:val="008000"/>
          <w:sz w:val="20"/>
          <w:szCs w:val="20"/>
          <w:rtl/>
        </w:rPr>
        <w:t>ﯡ ﯢ ﯣ ﯤ ﯥ ﯦ ﯧ ﯨ ﯩ ﯪ ﯫ ﯬ ﯭ ﯮ ﯯ ﯰ ﯱ ﯲ ﯳ ﯴ ﯵ ﯶ ﯷ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>[البقرة: 105]، والآية التي نحن بصددها، نزلت في قوم من المؤمنين يوالون المنافقين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فنهاهم الله عن ذلك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وبطانةُ الرجل أصدقاؤُه الذين يعرفون أسراره؛ ثقةً بهم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واستعار البطانة </w:t>
      </w:r>
      <w:r w:rsidRPr="00564883">
        <w:rPr>
          <w:rFonts w:cs="Traditional Arabic" w:hint="cs"/>
          <w:b/>
          <w:bCs/>
          <w:sz w:val="20"/>
          <w:szCs w:val="20"/>
          <w:rtl/>
        </w:rPr>
        <w:t>-</w:t>
      </w:r>
      <w:r w:rsidRPr="00564883">
        <w:rPr>
          <w:rFonts w:cs="AL-Hotham" w:hint="cs"/>
          <w:b/>
          <w:bCs/>
          <w:sz w:val="20"/>
          <w:szCs w:val="20"/>
          <w:rtl/>
        </w:rPr>
        <w:t>وهي بطانة الثوب التي تلي جسد اللابس ثوبه</w:t>
      </w:r>
      <w:r w:rsidRPr="00564883">
        <w:rPr>
          <w:rFonts w:cs="Traditional Arabic" w:hint="cs"/>
          <w:b/>
          <w:bCs/>
          <w:sz w:val="20"/>
          <w:szCs w:val="20"/>
          <w:rtl/>
          <w:lang w:bidi="ar-EG"/>
        </w:rPr>
        <w:t>-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للأصدقاء المقربين؛ لشدة ارتباطهم به كارتباط البطانة بالجسد.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lastRenderedPageBreak/>
        <w:t xml:space="preserve">ويؤكد هذا المعنى، قوله </w:t>
      </w:r>
      <w:r w:rsidRPr="00564883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: </w:t>
      </w:r>
      <w:r w:rsidRPr="00564883">
        <w:rPr>
          <w:rFonts w:cs="AL-Hotham" w:hint="cs"/>
          <w:b/>
          <w:bCs/>
          <w:color w:val="0000FF"/>
          <w:sz w:val="20"/>
          <w:szCs w:val="20"/>
          <w:rtl/>
        </w:rPr>
        <w:t>((الأنصار شعار</w:t>
      </w:r>
      <w:r w:rsidRPr="00564883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color w:val="0000FF"/>
          <w:sz w:val="20"/>
          <w:szCs w:val="20"/>
          <w:rtl/>
        </w:rPr>
        <w:t xml:space="preserve"> والناس دثار))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، أي: أن الأنصار أقرب المسلمين إلى الرسول </w:t>
      </w:r>
      <w:r w:rsidRPr="00564883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من دون الناس؛ لأنهم نصروه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وآوَوْا المسلمين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والشعار والبطانة سواء بسواء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وهو الذي يلي جسد الإنسان دون ما سواه من الثياب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وهؤلاء المنافقون الذين يواليهم المسلمون يعملون على إيقاع الفساد بينهم بالمكر والخديعة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ويظلوا كذلك حتى يوقعوا الشر بهم؛ لأنهم يودون عنتهم ومشقتهم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وإيقاع الضرر بهم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فإن عجزوا عن ذلك، تمنوا حب ذلك الشر لهم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لأن ذلك متمكن في نفوسهم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فحذر الله المؤمنين من غدرهم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لا سيما وأن علامة هذه الشرور تبدو ظاهرة من أفواههم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لأنهم لا يسيطرون على ألسنتهم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رغم ضبطهم لأنفسهم لشدة بغضهم للمسلمين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وما تخفيه صدورهم من الحقد أكبر مما يبدونه بألسنتهم. 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 xml:space="preserve">ومن الاستعارات المؤثرة غير أنها من قبيل الاستعارة بالكناية، قوله تعالى: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361" w:hAnsi="QCF_P361" w:cs="QCF_P361"/>
          <w:b/>
          <w:bCs/>
          <w:color w:val="008000"/>
          <w:sz w:val="20"/>
          <w:szCs w:val="20"/>
          <w:rtl/>
        </w:rPr>
        <w:t>ﭑ ﭒ ﭓ ﭔ ﭕ ﭖ ﭗ ﭘ ﭙ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>[الفرقان: 12]، وقد شبه جهنم بحيوان ضخم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هائج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يجول ويزفر من شدة غيضه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ثم استعار لها هذا الحيوان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وسكت عن هذه الاستعارة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والتصوير كما ترى يبث الهول والخوف لهذه الصورة الغريبة المفزعة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وناهيك عن جهنم حين تكون على هذا القدر من الحنق والغيظ، وماذا يكون حالهم فيها.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pacing w:val="-4"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 xml:space="preserve">ومن أوقع ما جاء في هذا المجاز، قوله تعالى: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284" w:hAnsi="QCF_P284" w:cs="QCF_P284"/>
          <w:b/>
          <w:bCs/>
          <w:color w:val="008000"/>
          <w:sz w:val="20"/>
          <w:szCs w:val="20"/>
          <w:rtl/>
        </w:rPr>
        <w:t>ﯓ ﯔ ﯕ ﯖ ﯗ ﯘ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>[الإسراء: 24]، حيث جعل الذل طائرًا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وله جناح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وذلك لأنه ذلُّ 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>للوالدين</w:t>
      </w:r>
      <w:r w:rsidRPr="00564883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 xml:space="preserve"> وبر بهما</w:t>
      </w:r>
      <w:r w:rsidRPr="00564883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 xml:space="preserve"> فليس هو الذل المسفُّ الدنيء</w:t>
      </w:r>
      <w:r w:rsidRPr="00564883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 xml:space="preserve"> وإنما هو ذلٌّ سامٍ نبيل</w:t>
      </w:r>
      <w:r w:rsidRPr="00564883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 xml:space="preserve"> وهناك كلمات تجري في أمثال هذه التراكيب</w:t>
      </w:r>
      <w:r w:rsidRPr="00564883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 xml:space="preserve"> ويفرغون عليها ألوانًا من الخيال والمجاز</w:t>
      </w:r>
      <w:r w:rsidRPr="00564883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 xml:space="preserve"> ككلمة الرداء مثلًا</w:t>
      </w:r>
      <w:r w:rsidRPr="00564883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 xml:space="preserve"> ترى العرب يقولون: رداء الحرب</w:t>
      </w:r>
      <w:r w:rsidRPr="00564883">
        <w:rPr>
          <w:rFonts w:cs="AL-Hotham" w:hint="cs"/>
          <w:b/>
          <w:bCs/>
          <w:spacing w:val="-4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4"/>
          <w:sz w:val="20"/>
          <w:szCs w:val="20"/>
          <w:rtl/>
        </w:rPr>
        <w:t xml:space="preserve"> وحين يقول شاعرهم:</w:t>
      </w:r>
    </w:p>
    <w:tbl>
      <w:tblPr>
        <w:tblStyle w:val="a5"/>
        <w:bidiVisual/>
        <w:tblW w:w="0" w:type="auto"/>
        <w:jc w:val="center"/>
        <w:tblInd w:w="-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25"/>
      </w:tblGrid>
      <w:tr w:rsidR="00564883" w:rsidRPr="00564883" w:rsidTr="00145F11">
        <w:trPr>
          <w:trHeight w:hRule="exact" w:val="510"/>
          <w:jc w:val="center"/>
        </w:trPr>
        <w:tc>
          <w:tcPr>
            <w:tcW w:w="3325" w:type="dxa"/>
            <w:shd w:val="clear" w:color="auto" w:fill="auto"/>
            <w:vAlign w:val="center"/>
          </w:tcPr>
          <w:p w:rsidR="00564883" w:rsidRPr="00564883" w:rsidRDefault="00564883" w:rsidP="0056488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564883">
              <w:rPr>
                <w:rFonts w:cs="AGA Furat Regular" w:hint="cs"/>
                <w:b/>
                <w:bCs/>
                <w:rtl/>
              </w:rPr>
              <w:t>إذا ما الحرب ألقت رداءها</w:t>
            </w:r>
            <w:r w:rsidRPr="00564883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564883">
        <w:rPr>
          <w:rFonts w:cs="AL-Hotham" w:hint="cs"/>
          <w:b/>
          <w:bCs/>
          <w:sz w:val="20"/>
          <w:szCs w:val="20"/>
          <w:rtl/>
        </w:rPr>
        <w:t>إنما يريد بذلك اشتدت واستعرت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فشبه الحرب بإنسان غاضب يلقي رداءه؛ تهيُّأً لمنازلة قاسية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وإلقاء الرداء كإلقاء العمامة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يجري كذلك كثيرًا في كلام العرب في هذا السياق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كما جاء في قول الحجاج: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5"/>
        <w:gridCol w:w="561"/>
        <w:gridCol w:w="2138"/>
      </w:tblGrid>
      <w:tr w:rsidR="00564883" w:rsidRPr="00564883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564883" w:rsidRPr="00564883" w:rsidRDefault="00564883" w:rsidP="0056488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564883">
              <w:rPr>
                <w:rFonts w:cs="AGA Furat Regular" w:hint="eastAsia"/>
                <w:b/>
                <w:bCs/>
                <w:rtl/>
              </w:rPr>
              <w:t>أَنا</w:t>
            </w:r>
            <w:r w:rsidRPr="00564883">
              <w:rPr>
                <w:rFonts w:cs="AGA Furat Regular"/>
                <w:b/>
                <w:bCs/>
                <w:rtl/>
              </w:rPr>
              <w:t xml:space="preserve"> </w:t>
            </w:r>
            <w:r w:rsidRPr="00564883">
              <w:rPr>
                <w:rFonts w:cs="AGA Furat Regular" w:hint="eastAsia"/>
                <w:b/>
                <w:bCs/>
                <w:rtl/>
              </w:rPr>
              <w:t>ابنُ</w:t>
            </w:r>
            <w:r w:rsidRPr="00564883">
              <w:rPr>
                <w:rFonts w:cs="AGA Furat Regular"/>
                <w:b/>
                <w:bCs/>
                <w:rtl/>
              </w:rPr>
              <w:t xml:space="preserve"> </w:t>
            </w:r>
            <w:r w:rsidRPr="00564883">
              <w:rPr>
                <w:rFonts w:cs="AGA Furat Regular" w:hint="eastAsia"/>
                <w:b/>
                <w:bCs/>
                <w:rtl/>
              </w:rPr>
              <w:t>جَلا</w:t>
            </w:r>
            <w:r w:rsidRPr="00564883">
              <w:rPr>
                <w:rFonts w:cs="AGA Furat Regular"/>
                <w:b/>
                <w:bCs/>
                <w:rtl/>
              </w:rPr>
              <w:t xml:space="preserve"> </w:t>
            </w:r>
            <w:r w:rsidRPr="00564883">
              <w:rPr>
                <w:rFonts w:cs="AGA Furat Regular" w:hint="eastAsia"/>
                <w:b/>
                <w:bCs/>
                <w:rtl/>
              </w:rPr>
              <w:t>وطَلاَّعُ</w:t>
            </w:r>
            <w:r w:rsidRPr="00564883">
              <w:rPr>
                <w:rFonts w:cs="AGA Furat Regular"/>
                <w:b/>
                <w:bCs/>
                <w:rtl/>
              </w:rPr>
              <w:t xml:space="preserve"> </w:t>
            </w:r>
            <w:r w:rsidRPr="00564883">
              <w:rPr>
                <w:rFonts w:cs="AGA Furat Regular" w:hint="eastAsia"/>
                <w:b/>
                <w:bCs/>
                <w:rtl/>
              </w:rPr>
              <w:t>الثَّنايا</w:t>
            </w:r>
            <w:r w:rsidRPr="00564883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4883" w:rsidRPr="00564883" w:rsidRDefault="00564883" w:rsidP="00564883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564883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64883" w:rsidRPr="00564883" w:rsidRDefault="00564883" w:rsidP="00564883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564883">
              <w:rPr>
                <w:rFonts w:cs="AGA Furat Regular" w:hint="eastAsia"/>
                <w:b/>
                <w:bCs/>
                <w:rtl/>
              </w:rPr>
              <w:t>مَتى</w:t>
            </w:r>
            <w:r w:rsidRPr="00564883">
              <w:rPr>
                <w:rFonts w:cs="AGA Furat Regular"/>
                <w:b/>
                <w:bCs/>
                <w:rtl/>
              </w:rPr>
              <w:t xml:space="preserve"> </w:t>
            </w:r>
            <w:r w:rsidRPr="00564883">
              <w:rPr>
                <w:rFonts w:cs="AGA Furat Regular" w:hint="eastAsia"/>
                <w:b/>
                <w:bCs/>
                <w:rtl/>
              </w:rPr>
              <w:t>أَضَعِ</w:t>
            </w:r>
            <w:r w:rsidRPr="00564883">
              <w:rPr>
                <w:rFonts w:cs="AGA Furat Regular"/>
                <w:b/>
                <w:bCs/>
                <w:rtl/>
              </w:rPr>
              <w:t xml:space="preserve"> </w:t>
            </w:r>
            <w:r w:rsidRPr="00564883">
              <w:rPr>
                <w:rFonts w:cs="AGA Furat Regular" w:hint="eastAsia"/>
                <w:b/>
                <w:bCs/>
                <w:rtl/>
              </w:rPr>
              <w:t>العِمامةَ</w:t>
            </w:r>
            <w:r w:rsidRPr="00564883">
              <w:rPr>
                <w:rFonts w:cs="AGA Furat Regular"/>
                <w:b/>
                <w:bCs/>
                <w:rtl/>
              </w:rPr>
              <w:t xml:space="preserve"> </w:t>
            </w:r>
            <w:r w:rsidRPr="00564883">
              <w:rPr>
                <w:rFonts w:cs="AGA Furat Regular" w:hint="eastAsia"/>
                <w:b/>
                <w:bCs/>
                <w:rtl/>
              </w:rPr>
              <w:t>تَعْرِفُونِي</w:t>
            </w:r>
            <w:r w:rsidRPr="00564883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564883">
        <w:rPr>
          <w:rFonts w:cs="AL-Hotham" w:hint="cs"/>
          <w:b/>
          <w:bCs/>
          <w:sz w:val="20"/>
          <w:szCs w:val="20"/>
          <w:rtl/>
        </w:rPr>
        <w:t>وكأنه توعدهم عند إلقاء العمامة ببادرة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الأمر الذي، يعني: أن القرآن حين جعل الذل طائرًا له جناح لم يكن بدعًا من كلام العرب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وإنما جاء على سننهم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وعلى مذاهبهم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وطرائقهم في الكلام. 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وحين نتأمل قول الله تعالى: </w:t>
      </w:r>
      <w:r w:rsidRPr="00564883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{</w:t>
      </w:r>
      <w:r w:rsidRPr="00564883">
        <w:rPr>
          <w:rFonts w:ascii="QCF_P323" w:hAnsi="QCF_P323" w:cs="QCF_P323"/>
          <w:b/>
          <w:bCs/>
          <w:color w:val="008000"/>
          <w:spacing w:val="-6"/>
          <w:sz w:val="20"/>
          <w:szCs w:val="20"/>
          <w:rtl/>
        </w:rPr>
        <w:t>ﮒ ﮓ ﮔ ﮕ ﮖ ﮗ</w:t>
      </w:r>
      <w:r w:rsidRPr="00564883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pacing w:val="-6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>[الأنبياء: 18]</w:t>
      </w:r>
      <w:r w:rsidRPr="00564883">
        <w:rPr>
          <w:rFonts w:cs="AL-Hotham" w:hint="cs"/>
          <w:b/>
          <w:bCs/>
          <w:sz w:val="20"/>
          <w:szCs w:val="20"/>
          <w:rtl/>
        </w:rPr>
        <w:t>، نجد أن الآية تُصور الحق في صورة الشيء المتين الذي يُقذف به فوق الباطل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فيعلوه ويشجه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كما أن المراد تصوير الباطل في صورة الشيء الهشِّ الذي يتهاوَى في مواجة صلابة الحق. 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 xml:space="preserve">وكذلك قوله: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290" w:hAnsi="QCF_P290" w:cs="QCF_P290"/>
          <w:b/>
          <w:bCs/>
          <w:color w:val="008000"/>
          <w:sz w:val="20"/>
          <w:szCs w:val="20"/>
          <w:rtl/>
        </w:rPr>
        <w:t>ﮙ ﮚ ﮛ ﮜ ﮝ</w:t>
      </w:r>
      <w:r w:rsidRPr="00564883">
        <w:rPr>
          <w:rFonts w:ascii="QCF_P290" w:hAnsi="QCF_P290" w:cs="DecoType Thuluth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>[الإسراء: 81]، إذ المراد تصوير الحق في صورة ظافر يجيء في موكب الجلال والاقتدار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وما أن يحضر الساحة حتى يشهق الباطل شهقة يفرغ فيها وجوده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قد نزلت الآية الكريمة، يوم الفتح الذي وصل فيه موكب الحق الظافر إلى ساحة بيت الله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ودخل النبي الكريم </w:t>
      </w:r>
      <w:r w:rsidRPr="00564883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ومعه أصحابه الكرام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وكان في البيت ثلاثمائة وستون صنمًا يُعبدون من دون الله، وأخذ النبي الكريم </w:t>
      </w:r>
      <w:r w:rsidRPr="00564883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ينكت بمخصرته في عين كل صنمٍ، ويقول: </w:t>
      </w:r>
      <w:r w:rsidRPr="00564883">
        <w:rPr>
          <w:rFonts w:cs="AL-Hotham" w:hint="cs"/>
          <w:b/>
          <w:bCs/>
          <w:color w:val="0000FF"/>
          <w:sz w:val="20"/>
          <w:szCs w:val="20"/>
          <w:rtl/>
        </w:rPr>
        <w:t>((جاء الحق وزهق الباطل</w:t>
      </w:r>
      <w:r w:rsidRPr="00564883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color w:val="0000FF"/>
          <w:sz w:val="20"/>
          <w:szCs w:val="20"/>
          <w:rtl/>
        </w:rPr>
        <w:t xml:space="preserve"> فيخور الباطل وينكت ساقطًا))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. 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>وأظن أن هذا السياق، كأنه تفسير لهذا المجاز الذي جاء عليه التعبير الكريم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وهذا الضرب من التصوير </w:t>
      </w:r>
      <w:r w:rsidRPr="00564883">
        <w:rPr>
          <w:rFonts w:cs="Traditional Arabic" w:hint="cs"/>
          <w:b/>
          <w:bCs/>
          <w:sz w:val="20"/>
          <w:szCs w:val="20"/>
          <w:rtl/>
        </w:rPr>
        <w:t>-</w:t>
      </w:r>
      <w:r w:rsidRPr="00564883">
        <w:rPr>
          <w:rFonts w:cs="AL-Hotham" w:hint="cs"/>
          <w:b/>
          <w:bCs/>
          <w:sz w:val="20"/>
          <w:szCs w:val="20"/>
          <w:rtl/>
        </w:rPr>
        <w:t>الذي يعتمد على إبراز المعاني وتجسيمها بواسطة هذا الفن</w:t>
      </w:r>
      <w:r w:rsidRPr="00564883">
        <w:rPr>
          <w:rFonts w:cs="Traditional Arabic" w:hint="cs"/>
          <w:b/>
          <w:bCs/>
          <w:sz w:val="20"/>
          <w:szCs w:val="20"/>
          <w:rtl/>
        </w:rPr>
        <w:t>-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كثير جدًّا في كتاب الله.</w:t>
      </w:r>
    </w:p>
    <w:p w:rsidR="00564883" w:rsidRPr="00564883" w:rsidRDefault="00564883" w:rsidP="00564883">
      <w:pPr>
        <w:spacing w:after="120" w:line="240" w:lineRule="auto"/>
        <w:jc w:val="both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 xml:space="preserve">ومثال ذلك، ما جاء في قوله تعالى: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041" w:hAnsi="QCF_P041" w:cs="QCF_P041"/>
          <w:b/>
          <w:bCs/>
          <w:color w:val="008000"/>
          <w:sz w:val="20"/>
          <w:szCs w:val="20"/>
          <w:rtl/>
        </w:rPr>
        <w:t>ﮗ ﮘ ﮙ ﮚ</w:t>
      </w:r>
      <w:r w:rsidRPr="00564883">
        <w:rPr>
          <w:rFonts w:ascii="QCF_P041" w:hAnsi="QCF_P041" w:cs="DecoType Thuluth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>[البقرة: 250]؛ حيث خيل في التعبير أن الصبر ماء بارد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يُفرغ على قلوب المؤمنين، فيذهب ما يجدون من حر الكرب والفزع في المواقف الصعبة، كهذه الماثلة في قوله تعالى: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041" w:hAnsi="QCF_P041" w:cs="QCF_P041"/>
          <w:b/>
          <w:bCs/>
          <w:color w:val="008000"/>
          <w:sz w:val="20"/>
          <w:szCs w:val="20"/>
          <w:rtl/>
        </w:rPr>
        <w:t>ﮒ ﮓ ﮔ ﮕ ﮖ ﮗ ﮘ ﮙ ﮚ ﮛ ﮜ ﮝ ﮞ ﮟ ﮠ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>[البقرة: 250].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lastRenderedPageBreak/>
        <w:t xml:space="preserve">وإذا ما انتقلنا إلى ما جاء في قوله تعالى: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593" w:hAnsi="QCF_P593" w:cs="QCF_P593"/>
          <w:b/>
          <w:bCs/>
          <w:color w:val="008000"/>
          <w:sz w:val="20"/>
          <w:szCs w:val="20"/>
          <w:rtl/>
        </w:rPr>
        <w:t>ﭙ ﭚ ﭛ</w:t>
      </w:r>
      <w:r w:rsidRPr="00564883">
        <w:rPr>
          <w:rFonts w:ascii="QCF_P593" w:hAnsi="QCF_P593" w:cs="DecoType Thuluth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>[الفجر: 4]، فإننا نلاحظ كيف صور القرآن الكريم لنا الليل بصفات الإنسان، الذي يسير الهوينية في تُؤدة وهَوادة، ونحس بسريانه الناعم في هذا الكون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والذي ملأنا بهذا الإحساس هو التعبير بالاستعارة المكنية.</w:t>
      </w:r>
    </w:p>
    <w:p w:rsidR="00564883" w:rsidRPr="00564883" w:rsidRDefault="00564883" w:rsidP="00564883">
      <w:pPr>
        <w:spacing w:after="120" w:line="240" w:lineRule="auto"/>
        <w:jc w:val="lowKashida"/>
        <w:rPr>
          <w:rFonts w:cs="AL-Hotham"/>
          <w:b/>
          <w:bCs/>
          <w:spacing w:val="-6"/>
          <w:sz w:val="20"/>
          <w:szCs w:val="20"/>
          <w:rtl/>
        </w:rPr>
      </w:pP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>فالحوار الذي يدور بين الخالق وبين السماء والأرض</w:t>
      </w:r>
      <w:r w:rsidRPr="00564883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 وبين بعض الكائنات في خلق الله</w:t>
      </w:r>
      <w:r w:rsidRPr="00564883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؛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 فيلقي عليها السؤال</w:t>
      </w:r>
      <w:r w:rsidRPr="00564883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 ويتلقى منها الإجابة</w:t>
      </w:r>
      <w:r w:rsidRPr="00564883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 والسماء والأرض من الجمادات التي لا تسمع</w:t>
      </w:r>
      <w:r w:rsidRPr="00564883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 ولا تعي</w:t>
      </w:r>
      <w:r w:rsidRPr="00564883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 ولا تجيب</w:t>
      </w:r>
      <w:r w:rsidRPr="00564883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 فوهب لهما فكر الآدميين وعواطفهم الإنسانية</w:t>
      </w:r>
      <w:r w:rsidRPr="00564883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 فهُما يحسان ما حولهما</w:t>
      </w:r>
      <w:r w:rsidRPr="00564883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 ويرهفان السمع</w:t>
      </w:r>
      <w:r w:rsidRPr="00564883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 ويأنسان بكلام الله</w:t>
      </w:r>
      <w:r w:rsidRPr="00564883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 فيسرعان إلى تلبية الأمر</w:t>
      </w:r>
      <w:r w:rsidRPr="00564883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 والانقياد للقدرة الإلهية</w:t>
      </w:r>
      <w:r w:rsidRPr="00564883">
        <w:rPr>
          <w:rFonts w:cs="AL-Hotham" w:hint="cs"/>
          <w:b/>
          <w:bCs/>
          <w:spacing w:val="-6"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 xml:space="preserve"> ترى ذلك في قوله تعالى: </w:t>
      </w:r>
      <w:r w:rsidRPr="00564883">
        <w:rPr>
          <w:rFonts w:cs="DecoType Thuluth" w:hint="cs"/>
          <w:b/>
          <w:bCs/>
          <w:color w:val="008000"/>
          <w:spacing w:val="-6"/>
          <w:sz w:val="20"/>
          <w:szCs w:val="20"/>
          <w:rtl/>
        </w:rPr>
        <w:t>{</w:t>
      </w:r>
      <w:r w:rsidRPr="00564883">
        <w:rPr>
          <w:rFonts w:ascii="QCF_P477" w:hAnsi="QCF_P477" w:cs="QCF_P477"/>
          <w:b/>
          <w:bCs/>
          <w:color w:val="008000"/>
          <w:spacing w:val="-6"/>
          <w:sz w:val="20"/>
          <w:szCs w:val="20"/>
          <w:rtl/>
        </w:rPr>
        <w:t>ﯡ ﯢ ﯣ ﯤ ﯥ ﯦ ﯧ ﯨ ﯩ ﯪ ﯫ ﯬ ﯭ ﯮ ﯯ ﯰ</w:t>
      </w:r>
      <w:r w:rsidRPr="00564883">
        <w:rPr>
          <w:rFonts w:ascii="QCF_P477" w:hAnsi="QCF_P477" w:cs="DecoType Thuluth"/>
          <w:b/>
          <w:bCs/>
          <w:color w:val="008000"/>
          <w:spacing w:val="-6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pacing w:val="-6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pacing w:val="-6"/>
          <w:sz w:val="20"/>
          <w:szCs w:val="20"/>
          <w:rtl/>
        </w:rPr>
        <w:t>[فصلت: 11].</w:t>
      </w:r>
    </w:p>
    <w:p w:rsidR="00564883" w:rsidRPr="00564883" w:rsidRDefault="00564883" w:rsidP="00564883">
      <w:pPr>
        <w:spacing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 xml:space="preserve">حيث جعل منهما إنسانًا يسمع ويجيب في قوله تعالى: 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564883">
        <w:rPr>
          <w:rFonts w:ascii="QCF_P519" w:hAnsi="QCF_P519" w:cs="QCF_P519"/>
          <w:b/>
          <w:bCs/>
          <w:color w:val="008000"/>
          <w:sz w:val="20"/>
          <w:szCs w:val="20"/>
          <w:rtl/>
        </w:rPr>
        <w:t>ﯷ ﯸ ﯹ ﯺ ﯻ ﯼ ﯽ ﯾ ﯿ</w:t>
      </w:r>
      <w:r w:rsidRPr="00564883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564883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564883">
        <w:rPr>
          <w:rFonts w:cs="AL-Hotham" w:hint="cs"/>
          <w:b/>
          <w:bCs/>
          <w:sz w:val="20"/>
          <w:szCs w:val="20"/>
          <w:rtl/>
        </w:rPr>
        <w:t>[ق: 30]، أليس في جهنم من مزيد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فقد امتلأت بالكافرين وعُصاة المسلمين من الجن والإنس، فحين يسوق الله أعداءه إلى جهنم زمرًا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ويقتحمونها فوجًا بعد فوج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وجهنم لا تمتلئ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قالت: "ألست قد أقسمت لتملأني من الجنة والناس أجمعين"، فالحوار يدور بين الله وبين جهنم، فينشئ لنا هذا الحوار صورة بعد صورة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فيتمثل الموقف تمثلًا واضحًا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فالله يعد جهنم بالامتلاء من الكافرين والعصاة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وجهنم لا ينفذ وقودها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ولا يضيق مكانها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وتطلب المزيد حتى تمتلئ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ولا تجد مكانًا للمزيد بعد امتلائها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حياةً وحركةً أضفاهما الحوار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وتجاذب الحديث مع من لا ينطق ولا يتكلم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فأعطانا هذا الحوار صورة رائعة، لتمثيل هول الجحيم، وعنفها وشدة سعيرها.</w:t>
      </w:r>
    </w:p>
    <w:p w:rsidR="00564883" w:rsidRPr="00564883" w:rsidRDefault="00564883" w:rsidP="00564883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564883">
        <w:rPr>
          <w:rFonts w:cs="AL-Hotham" w:hint="cs"/>
          <w:b/>
          <w:bCs/>
          <w:sz w:val="20"/>
          <w:szCs w:val="20"/>
          <w:rtl/>
        </w:rPr>
        <w:t>ولعلنا بعد هذا العرض لبعض ما جاء في القرآن من صور المجاز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نكون قد وقفنا على قيمة المجاز في آي الذكر الحكيم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وعلى أثره العظيم في تأدية المعنى المراد وتأثيره، من ثَمَّ في النفس البشرية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كما تستقيم على الجادة</w:t>
      </w:r>
      <w:r w:rsidRPr="00564883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564883">
        <w:rPr>
          <w:rFonts w:cs="AL-Hotham" w:hint="cs"/>
          <w:b/>
          <w:bCs/>
          <w:sz w:val="20"/>
          <w:szCs w:val="20"/>
          <w:rtl/>
        </w:rPr>
        <w:t xml:space="preserve"> ولا تحيد عن صراط ربها المستقيم.</w:t>
      </w:r>
    </w:p>
    <w:p w:rsidR="00564883" w:rsidRPr="00564883" w:rsidRDefault="00564883" w:rsidP="0056488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64883">
        <w:rPr>
          <w:rFonts w:asciiTheme="majorBidi" w:hAnsiTheme="majorBidi" w:cs="AL-Hotham" w:hint="cs"/>
          <w:b/>
          <w:bCs/>
          <w:sz w:val="20"/>
          <w:szCs w:val="20"/>
          <w:rtl/>
          <w:lang w:bidi="ar-IQ"/>
        </w:rPr>
        <w:t>المراجع والمصادر</w:t>
      </w:r>
    </w:p>
    <w:p w:rsidR="00564883" w:rsidRPr="00564883" w:rsidRDefault="00564883" w:rsidP="005648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564883" w:rsidRPr="00564883" w:rsidRDefault="00564883" w:rsidP="005648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lastRenderedPageBreak/>
        <w:t xml:space="preserve">الجرجاني، عبد القاهر الجرجاني، قرأه وعلق عليه محمود محمد شاكر،  (دلائل الاعجاز)  ، ط5، مكتبة الخانجي، 2004م.  </w:t>
      </w:r>
    </w:p>
    <w:p w:rsidR="00564883" w:rsidRPr="00564883" w:rsidRDefault="00564883" w:rsidP="005648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564883" w:rsidRPr="00564883" w:rsidRDefault="00564883" w:rsidP="005648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المراغي، أحمد مصطفى المراغي،  (تاريخ علوم البلاغة و التعريف برجالها) ، القاهرة، مكتبة و مطبعة مصطفى البابي، ط1، 1950م</w:t>
      </w:r>
    </w:p>
    <w:p w:rsidR="00564883" w:rsidRPr="00564883" w:rsidRDefault="00564883" w:rsidP="005648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564883" w:rsidRPr="00564883" w:rsidRDefault="00564883" w:rsidP="005648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الخوارزمي ، الشيخ يوسف بن أبي بكر بن محمد بن علي الخوارزمي الملقب بسراج الدين</w:t>
      </w:r>
      <w:r w:rsidRPr="00564883">
        <w:rPr>
          <w:rFonts w:asciiTheme="majorBidi" w:hAnsiTheme="majorBidi" w:cs="AL-Hotham"/>
          <w:b/>
          <w:bCs/>
          <w:sz w:val="20"/>
          <w:szCs w:val="20"/>
          <w:lang w:bidi="ar-IQ"/>
        </w:rPr>
        <w:t xml:space="preserve"> </w:t>
      </w:r>
      <w:r w:rsidRPr="0056488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564883" w:rsidRPr="00564883" w:rsidRDefault="00564883" w:rsidP="005648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564883" w:rsidRPr="00564883" w:rsidRDefault="00564883" w:rsidP="005648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564883" w:rsidRPr="00564883" w:rsidRDefault="00564883" w:rsidP="005648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lang w:bidi="ar-IQ"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564883" w:rsidRPr="00564883" w:rsidRDefault="00564883" w:rsidP="005648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564883" w:rsidRPr="00564883" w:rsidRDefault="00564883" w:rsidP="005648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564883" w:rsidRPr="00564883" w:rsidRDefault="00564883" w:rsidP="005648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564883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564883" w:rsidRDefault="00564883" w:rsidP="00564883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="AL-Hotham"/>
          <w:sz w:val="32"/>
          <w:szCs w:val="32"/>
          <w:rtl/>
          <w:lang w:bidi="ar-IQ"/>
        </w:rPr>
        <w:sectPr w:rsidR="00564883" w:rsidSect="00564883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564883" w:rsidRDefault="00564883" w:rsidP="00564883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="AL-Hotham"/>
          <w:sz w:val="32"/>
          <w:szCs w:val="32"/>
          <w:rtl/>
          <w:lang w:bidi="ar-IQ"/>
        </w:rPr>
      </w:pPr>
    </w:p>
    <w:p w:rsidR="00564883" w:rsidRPr="00E87483" w:rsidRDefault="00564883" w:rsidP="00564883">
      <w:pPr>
        <w:spacing w:after="120" w:line="520" w:lineRule="exact"/>
        <w:jc w:val="lowKashida"/>
        <w:rPr>
          <w:rFonts w:asciiTheme="majorBidi" w:hAnsiTheme="majorBidi" w:cs="AL-Hotham"/>
          <w:sz w:val="32"/>
          <w:szCs w:val="32"/>
          <w:rtl/>
        </w:rPr>
      </w:pPr>
    </w:p>
    <w:p w:rsidR="00564883" w:rsidRPr="00E87483" w:rsidRDefault="00564883" w:rsidP="00564883">
      <w:pPr>
        <w:spacing w:after="120" w:line="520" w:lineRule="exact"/>
        <w:jc w:val="lowKashida"/>
        <w:rPr>
          <w:rFonts w:asciiTheme="majorBidi" w:hAnsiTheme="majorBidi" w:cs="AL-Hotham"/>
          <w:sz w:val="32"/>
          <w:szCs w:val="32"/>
          <w:rtl/>
        </w:rPr>
      </w:pPr>
    </w:p>
    <w:p w:rsidR="00564883" w:rsidRPr="00564883" w:rsidRDefault="00564883" w:rsidP="00564883">
      <w:pPr>
        <w:spacing w:line="240" w:lineRule="auto"/>
        <w:rPr>
          <w:rFonts w:cs="AL-Hotham"/>
          <w:i/>
          <w:iCs/>
          <w:sz w:val="48"/>
          <w:szCs w:val="48"/>
          <w:lang w:bidi="ar-EG"/>
        </w:rPr>
      </w:pPr>
    </w:p>
    <w:sectPr w:rsidR="00564883" w:rsidRPr="00564883" w:rsidSect="00564883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13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31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charset w:val="B2"/>
    <w:family w:val="auto"/>
    <w:pitch w:val="variable"/>
    <w:sig w:usb0="00002001" w:usb1="00000000" w:usb2="00000000" w:usb3="00000000" w:csb0="00000040" w:csb1="00000000"/>
  </w:font>
  <w:font w:name="QCF_P509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539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7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7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1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7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9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6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64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6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16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36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84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GA Furat Regular">
    <w:charset w:val="B2"/>
    <w:family w:val="auto"/>
    <w:pitch w:val="variable"/>
    <w:sig w:usb0="00002001" w:usb1="00000000" w:usb2="00000000" w:usb3="00000000" w:csb0="00000040" w:csb1="00000000"/>
  </w:font>
  <w:font w:name="QCF_P32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9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4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9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47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19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B7EEA35A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64883"/>
    <w:rsid w:val="004A79AE"/>
    <w:rsid w:val="00514443"/>
    <w:rsid w:val="005552DA"/>
    <w:rsid w:val="00564883"/>
    <w:rsid w:val="00641D4E"/>
    <w:rsid w:val="006D5D05"/>
    <w:rsid w:val="009556CB"/>
    <w:rsid w:val="00BF7572"/>
    <w:rsid w:val="00D9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8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4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56488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1964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2013-06-14T11:41:00Z</dcterms:created>
  <dcterms:modified xsi:type="dcterms:W3CDTF">2013-06-17T08:03:00Z</dcterms:modified>
</cp:coreProperties>
</file>