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29" w:rsidRPr="00CC4120" w:rsidRDefault="00164129" w:rsidP="00CC4120">
      <w:pPr>
        <w:spacing w:line="240" w:lineRule="auto"/>
        <w:jc w:val="center"/>
        <w:rPr>
          <w:i/>
          <w:iCs/>
          <w:rtl/>
        </w:rPr>
      </w:pPr>
      <w:r w:rsidRPr="00164129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البيئات التي نمت فيها قواعد البلاغة، وعملت على إحياء علومها</w:t>
      </w:r>
    </w:p>
    <w:p w:rsidR="00164129" w:rsidRPr="00294A2D" w:rsidRDefault="00164129" w:rsidP="00164129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rtl/>
        </w:rPr>
        <w:t>فى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164129" w:rsidRPr="00294A2D" w:rsidRDefault="00164129" w:rsidP="00C244FF">
      <w:pPr>
        <w:spacing w:line="240" w:lineRule="auto"/>
        <w:jc w:val="center"/>
        <w:rPr>
          <w:rFonts w:asciiTheme="majorBidi" w:hAnsiTheme="majorBidi" w:cstheme="majorBidi"/>
          <w:lang w:bidi="ar-EG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C244FF" w:rsidRPr="00C244FF">
        <w:rPr>
          <w:rFonts w:asciiTheme="majorBidi" w:hAnsiTheme="majorBidi" w:cstheme="majorBidi" w:hint="cs"/>
          <w:rtl/>
          <w:lang w:bidi="ar-EG"/>
        </w:rPr>
        <w:t>شادية بيومي حامد</w:t>
      </w:r>
    </w:p>
    <w:p w:rsidR="00164129" w:rsidRPr="0089766D" w:rsidRDefault="00164129" w:rsidP="0016412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164129" w:rsidRPr="0089766D" w:rsidRDefault="00164129" w:rsidP="0016412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164129" w:rsidRPr="0089766D" w:rsidRDefault="00164129" w:rsidP="0016412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164129" w:rsidRPr="0089766D" w:rsidRDefault="00C244FF" w:rsidP="0016412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C244FF">
        <w:rPr>
          <w:rFonts w:asciiTheme="majorBidi" w:hAnsiTheme="majorBidi" w:cstheme="majorBidi"/>
          <w:i/>
          <w:iCs/>
          <w:sz w:val="20"/>
          <w:szCs w:val="20"/>
          <w:lang w:bidi="ar-EG"/>
        </w:rPr>
        <w:t>shadia@mediu.ws</w:t>
      </w:r>
    </w:p>
    <w:p w:rsid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164129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16412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البيئات التي نمت فيها قواعد البلاغة، وعملت على إحياء علومها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الشعر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نفوس حائرة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القرآن</w:t>
      </w:r>
    </w:p>
    <w:p w:rsidR="00164129" w:rsidRPr="00164129" w:rsidRDefault="00164129" w:rsidP="00164129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164129" w:rsidRPr="00164129" w:rsidRDefault="00164129" w:rsidP="0016412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16412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البيئات التي نمت فيها قواعد البلاغة، وعملت على إحياء علومها</w:t>
      </w:r>
    </w:p>
    <w:p w:rsidR="00164129" w:rsidRPr="00164129" w:rsidRDefault="00164129" w:rsidP="00164129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164129" w:rsidRPr="00164129" w:rsidRDefault="00164129" w:rsidP="0016412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وقال الوليد بن المغيرة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عرفنا الشعر كله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رجزه وهزجه، ومبسوطه ومقبوضه، وما هو بشاعر، ولما سمع من النبي </w:t>
      </w:r>
      <w:r w:rsidRPr="00164129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277" w:hAnsi="QCF_P277" w:cs="QCF_P277"/>
          <w:color w:val="008000"/>
          <w:sz w:val="18"/>
          <w:szCs w:val="18"/>
          <w:rtl/>
        </w:rPr>
        <w:t>ﭻ ﭼ ﭽ ﭾ ﭿ ﮀ ﮁ ﮂ ﮃ ﮄ ﮅ ﮆ ﮇ ﮈ ﮉ ﮊ ﮋ</w:t>
      </w:r>
      <w:r w:rsidRPr="00164129">
        <w:rPr>
          <w:rFonts w:cs="DecoType Thuluth" w:hint="cs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النحل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90]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قال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والله إن له لحلاوة، وإن عليه لطلاوة، وإن أعلاه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لمغدق، وإن أسفله لمثمر، ما يقول هذا بشر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ولكن تبقى نفوس حائرة يجتذبها ضلالها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القديم، فكان القرآن أهم ما وجهوا إليه أسلحتهم، يحاولون النيل منه؛ إذ هو ركيزة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الدين، وقد وجدوا أن التهوين من شأن القرآن، وادعاء أنه في مقدورهم، يُعد أمضى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الأسلحة التي توجه للطعن في هذا القرآن،</w:t>
      </w:r>
      <w:r w:rsidRPr="0016412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فقالوا: لو نشاء لقلنا مثل هذا، إن هذا إلَّا أساطير الأولين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r w:rsidRPr="0016412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يريدون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بذلك أن يطفئوا نور الله بأفواههم، والله مُتِم نوره ولو كره الكافرون. </w:t>
      </w:r>
    </w:p>
    <w:p w:rsidR="00164129" w:rsidRPr="00164129" w:rsidRDefault="00164129" w:rsidP="0016412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تحدى القرآن العرب قاطبةً أن يعارضوه، أو أن ينسجوا على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منواله، وطاولهم في المعارضة وتنازل لهم عن التحدي بجميع القرآن، في قوله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525" w:hAnsi="QCF_P525" w:cs="QCF_P525"/>
          <w:color w:val="008000"/>
          <w:sz w:val="18"/>
          <w:szCs w:val="18"/>
          <w:rtl/>
        </w:rPr>
        <w:t>ﭣ ﭤ ﭥ ﭦ ﭧ ﭨ ﭩ</w:t>
      </w:r>
      <w:r w:rsidRPr="00164129">
        <w:rPr>
          <w:rFonts w:cs="DecoType Thuluth" w:hint="cs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الطور: 34]، إلى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التحدي بعشر سورٍ مثله، في قوله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223" w:hAnsi="QCF_P223" w:cs="QCF_P223"/>
          <w:color w:val="008000"/>
          <w:sz w:val="18"/>
          <w:szCs w:val="18"/>
          <w:rtl/>
        </w:rPr>
        <w:t>ﭕ ﭖ ﭗ ﭘ ﭙ ﭚ ﭛ ﭜ ﭝ ﭞ ﭟ ﭠ ﭡ ﭢ ﭣ</w:t>
      </w:r>
      <w:r w:rsidRPr="00164129">
        <w:rPr>
          <w:rFonts w:cs="DecoType Thuluth" w:hint="cs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هود: 13]،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إلى التحدي بسورة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واحدة، في قوله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r w:rsidRPr="00164129">
        <w:rPr>
          <w:rFonts w:cs="AL-Hotham" w:hint="cs"/>
          <w:sz w:val="18"/>
          <w:szCs w:val="18"/>
          <w:rtl/>
        </w:rPr>
        <w:t xml:space="preserve">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004" w:hAnsi="QCF_P004" w:cs="QCF_P004"/>
          <w:color w:val="008000"/>
          <w:sz w:val="18"/>
          <w:szCs w:val="18"/>
          <w:rtl/>
        </w:rPr>
        <w:t>ﯢ ﯣ ﯤ ﯥ ﯦ ﯧ ﯨ ﯩ ﯪ ﯫ ﯬ ﯭ ﯮ ﯯ ﯰ ﯱ ﯲ ﯳ ﯴ ﯵ ﯶ</w:t>
      </w:r>
      <w:r w:rsidRPr="00164129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164129">
        <w:rPr>
          <w:rFonts w:ascii="QCF_P004" w:hAnsi="QCF_P004" w:cs="QCF_P004"/>
          <w:color w:val="008000"/>
          <w:spacing w:val="-4"/>
          <w:sz w:val="18"/>
          <w:szCs w:val="18"/>
          <w:rtl/>
        </w:rPr>
        <w:t xml:space="preserve">ﯷ ﯸ ﯹ ﯺ ﯻ ﯼ ﯽ ﯾ ﯿ ﰀ ﰁ ﰂ </w:t>
      </w:r>
      <w:r w:rsidRPr="00164129">
        <w:rPr>
          <w:rFonts w:ascii="QCF_P004" w:hAnsi="QCF_P004" w:cs="QCF_P004"/>
          <w:color w:val="008000"/>
          <w:sz w:val="18"/>
          <w:szCs w:val="18"/>
          <w:rtl/>
        </w:rPr>
        <w:t>ﰃ ﰄ ﰅ</w:t>
      </w:r>
      <w:r w:rsidRPr="00164129">
        <w:rPr>
          <w:rFonts w:cs="DecoType Thuluth" w:hint="cs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البقرة:23- 24]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فكان عجزهم أشنع وأبشع، فسجل القرآن عليهم الهزيمة أبد الدهر، فلم يفعلوا ولن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يفعلوا، ودحضت حجتهم، وظهر أمر الله وهم كارهون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164129" w:rsidRPr="00164129" w:rsidRDefault="00164129" w:rsidP="0016412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ولقد حدثنا التاريخ، أن من العرب من أوهم نفسه بمعارضة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القرآن، وأن يأتي بكلام له في أسلوبه من السحر والروعة، مثلما للقرآن،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ولكن التاريخ نفسه أخبرنا أن هذه المحاولات كانت مضحكة أخجلت هؤلاء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أمام قومهم، فباءوا بغضب من الله وسخط من الناس، وانصرف الناس عن مثل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هذه المحاولات، وأيقنوا بعجزهم؛ فآمنوا بربهم، والتفُّوا حول نبيهم،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وأقبلوا على كتابهم، موقنين بأنه ليس من كلام البشر، ولكنه كلام خالق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القوى والقدر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116" w:hAnsi="QCF_P116" w:cs="QCF_P116"/>
          <w:color w:val="008000"/>
          <w:sz w:val="18"/>
          <w:szCs w:val="18"/>
          <w:rtl/>
        </w:rPr>
        <w:t>ﭿ ﮀ ﮁ ﮂ ﮃ ﮄ ﮅ ﮆ ﮇ ﮈ ﮉ ﮊ</w:t>
      </w:r>
      <w:r w:rsidRPr="00164129">
        <w:rPr>
          <w:rFonts w:ascii="QCF_P116" w:hAnsi="QCF_P116" w:cs="DecoType Thuluth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المائدة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48].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7"/>
        <w:gridCol w:w="566"/>
        <w:gridCol w:w="2101"/>
      </w:tblGrid>
      <w:tr w:rsidR="00164129" w:rsidRPr="00164129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الله أكبر إن دين محمد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وكتابه أهدى وأقوم قيلا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  <w:tr w:rsidR="00164129" w:rsidRPr="00164129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لا تذكروا الكتب السوالف عنده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طلع الصباح فأطفئوا القنديلا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انقضى عصر الرسول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وهذا الشعور بالعجز يملأ صدور العرب، ويرثه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عنهم جيل بعد جيل إلى أن كان عصر الدولة العباسية، واختلط العرب بغيرهم من الأمم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اختلاف لغاتهم وثقافاتهم، وازداد هذا الاختلاط؛ الأمر الذي أدى إلى فساد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الملكات، وضعف الذوق العربي، وخفاء بعض معاني القرآن على الكثير من المسلمين،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وأصبحوا في حاجة إلى فهم بعض أساليب القرآن؛ فانطلقوا يسألون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العلماء العارفين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بلغة العرب وأساليبها، وبخاصة تلك التي يُشتبه فيها المسائل، وتحتاج إلى بيان يثلج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صدورهم، ويُطمئن قلوبهم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مر بنا قصة أبي عبيدة معمر بن المثنى، مع هذا الرجل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الذي جاء يسأل عن قول الله تعالى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164129">
        <w:rPr>
          <w:rFonts w:cs="DecoType Thuluth" w:hint="cs"/>
          <w:color w:val="008000"/>
          <w:sz w:val="18"/>
          <w:szCs w:val="18"/>
          <w:rtl/>
        </w:rPr>
        <w:t>{</w:t>
      </w:r>
      <w:r w:rsidRPr="00164129">
        <w:rPr>
          <w:rFonts w:ascii="QCF_P448" w:hAnsi="QCF_P448" w:cs="QCF_P448"/>
          <w:color w:val="008000"/>
          <w:sz w:val="18"/>
          <w:szCs w:val="18"/>
          <w:rtl/>
        </w:rPr>
        <w:t>ﮟ ﮠ ﮡ ﮢ</w:t>
      </w:r>
      <w:r w:rsidRPr="00164129">
        <w:rPr>
          <w:rFonts w:ascii="QCF_P448" w:hAnsi="QCF_P448" w:cs="DecoType Thuluth"/>
          <w:color w:val="008000"/>
          <w:sz w:val="18"/>
          <w:szCs w:val="18"/>
          <w:rtl/>
        </w:rPr>
        <w:t>}</w:t>
      </w:r>
      <w:r w:rsidRPr="00164129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الصافات: 65]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وذكر له أبو عبيدة أن ذاك جاء على غرار ما كان من العرب، وأنشد له بيتًا لامرئ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القيس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9"/>
        <w:gridCol w:w="560"/>
        <w:gridCol w:w="2105"/>
      </w:tblGrid>
      <w:tr w:rsidR="00164129" w:rsidRPr="00164129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أيقتلني والمشرفي مضاجعي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64129" w:rsidRPr="00164129" w:rsidRDefault="00164129" w:rsidP="00164129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ومسنونة زرق كأنياب أغوال</w:t>
            </w:r>
            <w:r w:rsidRPr="0016412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وهذا جعله يُفكر في تأليف كتابه: (مجاز القرآن)، وقد أراد أبو عبيدة بهذا أن يُبين أن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القرآن جاء على سنن العرب في كلامهم، وأنه لا يشذُّ عن الأسلوب العربي الذي عرفوه،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 كتاب أبي عبيدة هذا، هو بداية التأليف حول القرآن الكريم، وفك غامضه، وبيان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حوى من أسرارٍ كان بها قمة الإعجاز البياني، وجاء بعده كثير من العلماء،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وصاروا على هذا الطريق، وتوسعوا فيه، وأضافوا إليه، وأضحت هناك بيئة ثقافية لها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طابعها واهتمامها الخاص، هذه البيئة أُطلق عليها بيئة الإعجاز القرآني، كما أُطلق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علمائها؛ علماء الإعجاز، وكان هدف هؤلاء هو الكشف عن معاني القرآن، وما غمض من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عباراته، والدفاع ضد هؤلاء الطاغين الملحدين، بما ورد في القرآن الكريم عن المجاز،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وبيان ما أضفاه المجاز في الآيات القرآنية من مظاهر الروعة والجمال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تمخضت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هذه البيئة التي نمت فيها البلاغة، وتمخضت عن كتاب أبي عبيدة: (مجاز القرآن)، تمخض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 هذا عن كثير من المؤلفات التي حفظها الزمن ككتاب: (مجاز القرآن)، لأبي عبيدة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الذي سبق أن ذكرناه، والذي سبقت الإشارة إليه، وكتاب: (تأويل مشكل القرآن)، لابن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قتيبة، المتوفى سنة 276، و(النكت في إعجاز القرآن)، لعلي بن عيسى الرماني، المتوفى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سنة 386، و(إعجاز القرآن)، للخطابي، المتوفى سنة 388، و(إعجاز القرآن)، للباقلاني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المتوفى سنة 403، و(تلخيص البيان في مجازات القرآن)، للشريف الرضي، المتوفى سنة 404،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وغير هذه المؤلفات الكثيرة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وكانت هذه الآثار والمؤلفات التي خلفتها هذه البيئة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القرآنية -مع تخصصها في القرآن، والذود عنه- هي التي فتحت باب البحث البلاغي على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مصراعيه، فقد اهتدى أصحابها إلى كثير من الأصول، والقضايا التي يبدأ منها البحث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البلاغي، بل أصبحت هذه الأصول فيما بعدُ؛ القواعد البلاغية التي جدَّ من جاء بعدهم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جمعها، وحصرها، وتصنيفها، وترتيبها، ووضعها في قالب علميٍ خاص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وهذا العرض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السريع لهاتين البيئتين، يوضح بإجمال جهود العلماء الذين بذلوها في ميداني النقد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الأدبي، والدراسات القرآنية، حتى أوائل القرن الخامس الهجري، وواضح من هذا العرض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أيضًا، أن القرن الرابع الهجري، هو عصر الثراء العلمي؛ إذ فيه تقريبًا معظم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المؤلفات التي اتُّخذت أساسًا للبلاغة العربية فيما بعد، كما أنه عصر الاختصاصيين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الذين هجروا التعميم غير العلمي، واهتموا بمعالجة التفاصيل ونقد النصوص، وقد هيأت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آثارهم التي سبقت الإشارة إليها السبيل لأصحاب العقول العظيمة بعد أن وقفوا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عليها، ووعوها وعيًا تامًّا، وكان ذلك الوعي في منتصف القرن الخامس الهجري تقريبًا؛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حيث جاء الإمام عبد القاهر الجرجاني فدرس هذا التراث الضخم الذي خلفه السابقون، واستطاع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يجمع بذهنه الثاقب وعقله المستنير، تلك الزهور المتناثرة هنا وهناك في بطون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التراث، وأن ينظم منها باقة بلاغية متكاملة في كتابيه المشهورين، اللذين سبق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الإشارة إليهما، واللذين سيأتي الحديث عنهما بشيء من التفصيل؛ إبَّان حديثنا عن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النظم، وازدهار الدراسات البلاغية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 أتى بعد عبد القاهر، أبو يعقوب السكاكي، المتوفى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سنة 626هـ، فوضع الفروق الدقيقة بين مسائل ومباحث علم البلاغة، وميز بعضها عن بعض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تمييزًا تامًّا، وجعل لكل مبحث منها علمًا خاصًّا، وكان له من صنيع عبد القاهر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الجرجاني، ما أوحى إليه هذا التحديد والتمييز، وأخذت البلاغة على يد السكاكي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صورتها النهائية، بعد أن جعلها ثلاثة أصناف، كما سبق أن ذكرنا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صنف يبحث فيه عن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الهيئات والأحوال التي تطابق باللفظ جميع مقتضيات الأحوال، وهي علم المعاني، وصنف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يبحث فيه عن الدلالة عن اللفظ وملزومه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وغير ذلك مما يتصل بالدلالة، ويسمى هذا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العلم بعلم البيان، وقد حدد السكاكي، مباحث هذا العلم في ثلاثة أصول: التشبيه،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والاستعارة، والكناية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وصنف ثالث: يبحث في تزيين الكلام وتحسينه بنوع من التنسيق،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وهذه المحاسن وأقسامها، هو ما يعرف بعلم البديع، وقد ضم السكاكي هذه الأصناف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الثلاثة في القسم الثالث، من كتابه: (مفتاح العلوم)، أما القسم الأول فجعله لعلم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الصرف، والقسم الثاني جعله لعلم النحو، ووقفت بذلك البلاغة عند هذه الحدود التي انتهت إليها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عند الإمام عبد القاهر الجرجاني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ووقفت جهود العلماء عند التلخيص والعودة، إلى هذا التلخيص للشرح،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وإلى هذا الشرح بشرح آخر، يُدعى حاشية، وقد يوضع على هذه الحاشية ملحوظات، تُدعى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تقريرًا، ولا تتناول هذه الشروح المتراكب بعضها فوق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بعض إلَّا مسائل لفظية،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ومناقشات فلسفية منطقية لا غناء للبلاغة عنها أحيانًا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توالى على: (مفتاح العلوم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)،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بالشرح كثير من العلماء، وشرحه قطب الدين محمود بن مسعود الشيرازي، وشمس الدين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بن مظفر، وناصر الدين الترمذي، وعماد الدين الكاشي، والخطيب القزويني، وسعد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الدين التفتازاني، وسيد الشريف الجرجاني، وغير هؤلاء ممن اهتموا بالقسم الثالث، من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 (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المفتاح)؛ فقاموا بشرحه وتلخيصه، والتعليق عليه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حظي أحد هذه الشروح والتلخيصات، بأكثر مما حظي به: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المفتاح) نفسه، وهو تلخيص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: (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المفتاح)، للخطيب القزويني، المتوفى سنة 739، فشروح التلخيص ومختصراته تعدو كل حصر،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ولم يرزق كتاب من الشهرة والحظوة لدى العلماء، ما رُزقه هذا التلخيص؛ حتى إن مؤلفه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شرحه بشرح أسماه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إيضاح التلخيص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وممن قاموا بشرح التلخيص عدا مؤلفه، شمس الدين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الخلخال، في كتابه: (مفتاح تلخيص المفتاح)، وبهاء الدين السبكي، في كتابه: (عروس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الأفراح في شرح تلخيص المفتاح)، وسعد الدين التفتازاني، في كتابيه: (المختصر) و(المطول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وعصام الدين إبراهيم بن محمد بن عرب شاه الإسفراييني، في كتابه: (الأطول)، وهو كاسم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أطول من (مطول) السعد.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ومنهم ابن يعقوب المغربي، في كتاب: (مواهب الفتاح في شرح تلخيص المفتاح)، وأصبح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تلخيص القزويني وشروحه، المادة الأساسية لتعليم البلاغة في كل البيئات المعنية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بالعربية على اختلاف الأقطار، وتفاوت الأبصار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وعلى الرغم من هذا، فقد ظلت فكرة الإمام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القاهر البيانية تعيش في عقول بعض العلماء، مؤكدين على هذا الاتجاه في دراسة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البلاغة، ومسائلها، ونذكر من هؤلاء العلماء، كمال الدين الزملكاني، المتوفى سنة 651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كتابه: (التبيان في علم البيان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). 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العصر الحديث، وجدنا كثيرًا من المؤلفات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البلاغية التي حرص أصحابها على البعد عن الجفاف الفلسفي والمنطقي، والخلافات التي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وقعت بين البلاغيين، ومُلئت بها الشروح والحواشي، كما حرصوا على العودة بالدرس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 إلى هدفه الأصيل، وغايته المنشودة؛ وهو تربية الذوق الأدبي، والإحساس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بالجمال الأثري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ومن هذه المؤلفات: كتب فضيلة الأستاذ الدكتور محمد بن محمد أبي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موسى: (التصوير البياني)، و(دلالات التراكيب)، و(خصائص التراكيب)، و(الإعجاز البلاغي في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القرآن الكريم)، وكتاب: (البلاغة الواضحة)، لعلي الجاري، وكتب أستاذنا الفاضل: "بسيون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فيود" في علم المعاني، والبيان، والبديع، وكتاب: (علوم البلاغة)، لأحمد المراغي، و(المنهاج الواضح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)،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لحامد عوني، و(جوهر البلاغة)، للسيد أحمد الهاشمي، وغيرها كثير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164129" w:rsidRPr="00164129" w:rsidRDefault="00164129" w:rsidP="001641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164129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164129" w:rsidRPr="00164129" w:rsidRDefault="00164129" w:rsidP="00164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164129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164129" w:rsidRPr="00164129" w:rsidRDefault="00164129" w:rsidP="00164129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18"/>
          <w:szCs w:val="18"/>
          <w:rtl/>
          <w:lang w:bidi="ar-IQ"/>
        </w:rPr>
        <w:sectPr w:rsidR="00164129" w:rsidRPr="00164129" w:rsidSect="00164129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164129" w:rsidRPr="00164129" w:rsidRDefault="00164129" w:rsidP="00164129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164129" w:rsidRPr="00164129" w:rsidRDefault="00164129" w:rsidP="00164129">
      <w:pPr>
        <w:spacing w:after="120" w:line="520" w:lineRule="exact"/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164129" w:rsidRPr="00164129" w:rsidRDefault="00164129" w:rsidP="00164129">
      <w:pPr>
        <w:spacing w:after="120" w:line="520" w:lineRule="exact"/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164129" w:rsidRPr="00164129" w:rsidRDefault="00164129" w:rsidP="00164129">
      <w:pPr>
        <w:rPr>
          <w:i/>
          <w:iCs/>
          <w:sz w:val="48"/>
          <w:szCs w:val="48"/>
          <w:lang w:bidi="ar-EG"/>
        </w:rPr>
      </w:pPr>
    </w:p>
    <w:sectPr w:rsidR="00164129" w:rsidRPr="00164129" w:rsidSect="00164129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27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QCF_P52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2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0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1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4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EF3"/>
    <w:multiLevelType w:val="hybridMultilevel"/>
    <w:tmpl w:val="41445A4E"/>
    <w:lvl w:ilvl="0" w:tplc="2BEA303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64129"/>
    <w:rsid w:val="00164129"/>
    <w:rsid w:val="004B109C"/>
    <w:rsid w:val="00514443"/>
    <w:rsid w:val="009556CB"/>
    <w:rsid w:val="00A56FB2"/>
    <w:rsid w:val="00BF7572"/>
    <w:rsid w:val="00C244FF"/>
    <w:rsid w:val="00CC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1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6412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2013-06-13T19:26:00Z</dcterms:created>
  <dcterms:modified xsi:type="dcterms:W3CDTF">2013-06-17T08:07:00Z</dcterms:modified>
</cp:coreProperties>
</file>