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C46313" w:rsidP="00C46313">
      <w:pPr>
        <w:spacing w:line="240" w:lineRule="auto"/>
        <w:jc w:val="center"/>
        <w:rPr>
          <w:i/>
          <w:iCs/>
          <w:rtl/>
        </w:rPr>
      </w:pPr>
      <w:r w:rsidRPr="00C46313">
        <w:rPr>
          <w:rFonts w:ascii="Calibri" w:eastAsia="Calibri" w:hAnsi="Calibri" w:cs="AL-Hotham"/>
          <w:i/>
          <w:iCs/>
          <w:sz w:val="48"/>
          <w:szCs w:val="48"/>
          <w:rtl/>
        </w:rPr>
        <w:t>المشاكلة</w:t>
      </w:r>
    </w:p>
    <w:p w:rsidR="00C46313" w:rsidRPr="00E87483" w:rsidRDefault="00C46313" w:rsidP="00C46313">
      <w:pPr>
        <w:spacing w:line="240" w:lineRule="auto"/>
        <w:jc w:val="center"/>
        <w:rPr>
          <w:rFonts w:asciiTheme="majorBidi" w:hAnsiTheme="majorBidi" w:cs="AL-Hotham"/>
          <w:i/>
          <w:iCs/>
          <w:sz w:val="28"/>
          <w:szCs w:val="28"/>
          <w:rtl/>
        </w:rPr>
      </w:pPr>
      <w:r w:rsidRPr="00E87483">
        <w:rPr>
          <w:rFonts w:asciiTheme="majorBidi" w:hAnsiTheme="majorBidi" w:cs="AL-Hotham"/>
          <w:i/>
          <w:iCs/>
          <w:sz w:val="28"/>
          <w:szCs w:val="28"/>
          <w:rtl/>
        </w:rPr>
        <w:t xml:space="preserve">بحث  فى </w:t>
      </w:r>
      <w:r w:rsidRPr="00E87483">
        <w:rPr>
          <w:rFonts w:asciiTheme="majorBidi" w:hAnsiTheme="majorBidi" w:cs="AL-Hotham" w:hint="cs"/>
          <w:i/>
          <w:iCs/>
          <w:sz w:val="28"/>
          <w:szCs w:val="28"/>
          <w:rtl/>
        </w:rPr>
        <w:t>دراسات بلاغيه</w:t>
      </w:r>
    </w:p>
    <w:p w:rsidR="00C46313" w:rsidRPr="00E87483" w:rsidRDefault="00C46313" w:rsidP="00665744">
      <w:pPr>
        <w:spacing w:line="240" w:lineRule="auto"/>
        <w:jc w:val="center"/>
        <w:rPr>
          <w:rFonts w:asciiTheme="majorBidi" w:hAnsiTheme="majorBidi" w:cs="AL-Hotham"/>
        </w:rPr>
      </w:pPr>
      <w:r w:rsidRPr="00E87483">
        <w:rPr>
          <w:rFonts w:asciiTheme="majorBidi" w:hAnsiTheme="majorBidi" w:cs="AL-Hotham"/>
          <w:rtl/>
        </w:rPr>
        <w:t xml:space="preserve">إعداد أ/ </w:t>
      </w:r>
      <w:r w:rsidR="00665744" w:rsidRPr="00665744">
        <w:rPr>
          <w:rFonts w:asciiTheme="majorBidi" w:hAnsiTheme="majorBidi" w:cs="AL-Hotham"/>
          <w:i/>
          <w:iCs/>
          <w:rtl/>
          <w:lang w:bidi="ar-EG"/>
        </w:rPr>
        <w:t>محمد سعد حسن</w:t>
      </w:r>
    </w:p>
    <w:p w:rsidR="00C46313" w:rsidRPr="00E87483" w:rsidRDefault="00C46313" w:rsidP="00C4631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قسم اللغة العربية</w:t>
      </w:r>
    </w:p>
    <w:p w:rsidR="00C46313" w:rsidRPr="00E87483" w:rsidRDefault="00C46313" w:rsidP="00C4631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كلية اللغات – جامعة المدينة العالمية</w:t>
      </w:r>
    </w:p>
    <w:p w:rsidR="00C46313" w:rsidRPr="00E87483" w:rsidRDefault="00C46313" w:rsidP="00C4631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  <w:rtl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شاه علم – ماليزيا</w:t>
      </w:r>
    </w:p>
    <w:p w:rsidR="00C46313" w:rsidRPr="00E87483" w:rsidRDefault="00665744" w:rsidP="00C4631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665744">
        <w:rPr>
          <w:rFonts w:asciiTheme="majorBidi" w:hAnsiTheme="majorBidi" w:cs="AL-Hotham"/>
          <w:i/>
          <w:iCs/>
          <w:lang w:bidi="ar-EG"/>
        </w:rPr>
        <w:t>mohamad.saad@mediu.ws</w:t>
      </w:r>
    </w:p>
    <w:p w:rsidR="00C46313" w:rsidRDefault="00C46313" w:rsidP="00C4631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  <w:sectPr w:rsidR="00C46313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C46313" w:rsidRPr="00C46313" w:rsidRDefault="00C46313" w:rsidP="00C4631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lastRenderedPageBreak/>
        <w:t>خلاصة</w:t>
      </w:r>
      <w:r w:rsidRPr="00C4631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ـــ</w:t>
      </w: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t xml:space="preserve"> هذا البحث يبحث في </w:t>
      </w:r>
      <w:r w:rsidRPr="00C46313">
        <w:rPr>
          <w:rFonts w:ascii="Calibri" w:eastAsia="Calibri" w:hAnsi="Calibri" w:cs="AL-Hotham"/>
          <w:b/>
          <w:bCs/>
          <w:sz w:val="20"/>
          <w:szCs w:val="20"/>
          <w:rtl/>
        </w:rPr>
        <w:t>المشاكلة</w:t>
      </w:r>
    </w:p>
    <w:p w:rsidR="00C46313" w:rsidRPr="00C46313" w:rsidRDefault="00C46313" w:rsidP="00C4631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t>الكلمات المفتاحية</w:t>
      </w:r>
      <w:r w:rsidRPr="00C4631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t>: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الشبه والمثل</w:t>
      </w:r>
      <w:r w:rsidRPr="00C4631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</w:t>
      </w:r>
      <w:r w:rsidRPr="00C46313">
        <w:rPr>
          <w:rFonts w:cs="AL-Hotham" w:hint="cs"/>
          <w:b/>
          <w:bCs/>
          <w:sz w:val="20"/>
          <w:szCs w:val="20"/>
          <w:rtl/>
        </w:rPr>
        <w:t>التشاكل</w:t>
      </w:r>
      <w:r w:rsidRPr="00C4631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 </w:t>
      </w:r>
      <w:r w:rsidRPr="00C46313">
        <w:rPr>
          <w:rFonts w:cs="AL-Hotham" w:hint="cs"/>
          <w:b/>
          <w:bCs/>
          <w:sz w:val="20"/>
          <w:szCs w:val="20"/>
          <w:rtl/>
        </w:rPr>
        <w:t>الشاكلة الناحية</w:t>
      </w:r>
    </w:p>
    <w:p w:rsidR="00C46313" w:rsidRPr="00C46313" w:rsidRDefault="00C46313" w:rsidP="00C46313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t>المقدمة</w:t>
      </w:r>
    </w:p>
    <w:p w:rsidR="00C46313" w:rsidRPr="00C46313" w:rsidRDefault="00C46313" w:rsidP="00C46313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C46313">
        <w:rPr>
          <w:rFonts w:ascii="Calibri" w:eastAsia="Calibri" w:hAnsi="Calibri" w:cs="AL-Hotham"/>
          <w:b/>
          <w:bCs/>
          <w:sz w:val="20"/>
          <w:szCs w:val="20"/>
          <w:rtl/>
        </w:rPr>
        <w:t>المشاكلة</w:t>
      </w:r>
    </w:p>
    <w:p w:rsidR="00C46313" w:rsidRPr="00C46313" w:rsidRDefault="00C46313" w:rsidP="00C46313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</w:rPr>
        <w:t>عنوان المقال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المشاكلة، مفاعلة من الشكل: وهو الشبه والمثل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يقال: تشاكل الشيئان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وشاكل كل منهما صاحبه، أي: صار شبيهًا له ومثيلًا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وفي فلان شبه من أبيه وشكل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وفي القرآن الكريم: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456" w:hAnsi="QCF_P456" w:cs="QCF_P456"/>
          <w:b/>
          <w:bCs/>
          <w:color w:val="008000"/>
          <w:sz w:val="20"/>
          <w:szCs w:val="20"/>
          <w:rtl/>
        </w:rPr>
        <w:t>ﯩ ﯪ ﯫ ﯬ</w:t>
      </w:r>
      <w:r w:rsidRPr="00C46313">
        <w:rPr>
          <w:rFonts w:ascii="QCF_P456" w:hAnsi="QCF_P456" w:cs="DecoType Thuluth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>[ص: 58]، فالمشاكلة كالتشاكل معناها الموافقة والمماثلة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والشاكلة الناحية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والطريقة قال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290" w:hAnsi="QCF_P290" w:cs="QCF_P290"/>
          <w:b/>
          <w:bCs/>
          <w:color w:val="008000"/>
          <w:sz w:val="20"/>
          <w:szCs w:val="20"/>
          <w:rtl/>
        </w:rPr>
        <w:t>ﯢ ﯣ ﯤ ﯥ ﯦ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>[الإسراء: 84]، أي: طريقته ومذهبه الذي يُشبهه ويوافقه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وأشكل الأمر: اختلط والتبس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ومنه المشكلة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الأمر الذي توافقت فيه الأضداد حتى أصبح لا يمكن التمييز بينها.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أما معناها في اصطلاح البلاغيين: هو ذكر الشيء بلفظ غيره، لوقوعه في صحبته تحقيقًا أو تقديرًا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والمراد بالشيء في التعريف المعنى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فالمشاكلة، ذكر المعنى بلفظ غير لفظه الموضوع له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بل بلفظ موضوع لمعنًى آخر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والمصوغ لذكر المعنى بلفظ غيره هو وقوع ذلك المعنى في صحبة معنى آخر مدلولٍ عليه بلفظه الحقيقي.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 xml:space="preserve">ومثال ذلك، قوله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487" w:hAnsi="QCF_P487" w:cs="QCF_P487"/>
          <w:b/>
          <w:bCs/>
          <w:color w:val="008000"/>
          <w:sz w:val="20"/>
          <w:szCs w:val="20"/>
          <w:rtl/>
        </w:rPr>
        <w:t>ﮬ ﮭ ﮮ ﮯ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>[الشورى: 40].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وقول الشاعر: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3"/>
        <w:gridCol w:w="567"/>
        <w:gridCol w:w="2124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من مبلغ أثناء يعرب كلها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أني بنيتُ الجار قبل المنزل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ففي الآية: وقعت لفظ سيئة الثانية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وليس مقصودًا بها حقيقة السيئة التي يُعاقب المرء على فعلها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وإنما المقصود بها الجزاء الواقع بالمعتدي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فقد ذكر الجزاء هنا بلفظ السيئة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والذي سوَّغ وقوع الجزاء بلفظ السيئة وقوعه في صحبة السيئة الأولى في الآية؛ حيث قصد بها معناها الحقيقي وهو الفعل المنهي عنه.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وفي البيت، جاءت كلمة بنيت إلى جانب الجار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لا يقصد بها حقيقة البناء؛ لأن الجار لا يُبنى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والذي يبنى هو الجدار أو المنزل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ومن ثم جاء هذا المعنى مذكورًا بلفظٍ غير لفظه الموضوع له.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والذي سوغ ذلك هو وقوع هذا المعنى بصحبة البناء الحقيقي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بناء المنزل.</w:t>
      </w:r>
    </w:p>
    <w:p w:rsidR="00C46313" w:rsidRPr="00C46313" w:rsidRDefault="00C46313" w:rsidP="00C46313">
      <w:pPr>
        <w:spacing w:before="100" w:beforeAutospacing="1" w:after="100" w:afterAutospacing="1" w:line="240" w:lineRule="auto"/>
        <w:jc w:val="lowKashida"/>
        <w:rPr>
          <w:rFonts w:cs="AL-Hotham"/>
          <w:b/>
          <w:bCs/>
          <w:color w:val="000080"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أقسام المشاكلة: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 xml:space="preserve">والمشاكلة كما هو واضح من التعريف قسمان: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أحدهما: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ما كان وقوع المعنى في صحبة غيره وقوعًا محققًا، يعني: أنه وارد في اللفظ، كما نراه في الأمثلة السابقة، فوقوع سيئة الثانية في </w:t>
      </w:r>
      <w:r w:rsidRPr="00C46313">
        <w:rPr>
          <w:rFonts w:cs="AL-Hotham" w:hint="cs"/>
          <w:b/>
          <w:bCs/>
          <w:sz w:val="20"/>
          <w:szCs w:val="20"/>
          <w:rtl/>
        </w:rPr>
        <w:lastRenderedPageBreak/>
        <w:t xml:space="preserve">الآية الكريمة: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487" w:hAnsi="QCF_P487" w:cs="QCF_P487"/>
          <w:b/>
          <w:bCs/>
          <w:color w:val="008000"/>
          <w:sz w:val="20"/>
          <w:szCs w:val="20"/>
          <w:rtl/>
        </w:rPr>
        <w:t>ﮬ ﮭ ﮮ ﮯ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}</w:t>
      </w:r>
      <w:r w:rsidRPr="00C46313">
        <w:rPr>
          <w:rFonts w:cs="AL-Hotham" w:hint="cs"/>
          <w:b/>
          <w:bCs/>
          <w:sz w:val="20"/>
          <w:szCs w:val="20"/>
          <w:rtl/>
        </w:rPr>
        <w:t>، مرادًا بها الجزاء والعقاب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وإنما صح لوقوع المعنى الآخر معبرًا عنه بلفظه الخاص به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سيئة الأولى، وهو وقوع حقيقي كما هو واضح، وكذا بناء المنزل، جاء مصاحبًا لبناء الجار مصاحبة حقيقية، كما هو واضح في البيت.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ومن ذلك ما هو معروف ومشهور، من قول أبي الرقعمق الأنطاكي: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2"/>
        <w:gridCol w:w="564"/>
        <w:gridCol w:w="2138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قالوا اقترح شيئًا نجد لك طبخه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قلت اطبخوا لي جبة وقميصا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فالجبة والقميص لا يطبخان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وإنما يخاطان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والذي سوغ الطبخ في جانب الجبة والقميص، وقوع الطبخ الحقيقي مصاحبًا له في البيت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وهي مصاحبة حقيقية في اللفظ.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 xml:space="preserve">ومن أمثلة هذا النوع، قول الله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30" w:hAnsi="QCF_P030" w:cs="QCF_P030"/>
          <w:b/>
          <w:bCs/>
          <w:color w:val="008000"/>
          <w:sz w:val="20"/>
          <w:szCs w:val="20"/>
          <w:rtl/>
        </w:rPr>
        <w:t>ﮎ ﮏ ﮐ ﮑ ﮒ ﮓ ﮔ ﮕ ﮖ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>[البقرة: 194]، فالمقصود بالاعتداء الثاني، هو الجزاء الذي يقع على المعتدي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وقد سوغ التعبير عن الجزاء بلفظ الاعتداء، وقوع الاعتداء الحقيقي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الاعتداء الأول في الآية الكريمة، في صحبته وقوعًا تحقيقيًّا.</w:t>
      </w:r>
    </w:p>
    <w:p w:rsidR="00C46313" w:rsidRPr="00C46313" w:rsidRDefault="00C46313" w:rsidP="00C46313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ثانيهما: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ما كان وقوع المعنى في صحبة غيره وقوعًا تقديريًّا، يعني: لا تكون المصاحبة في اللفظ، وإنما في الفعل والمقام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وذلك كقوله الله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21" w:hAnsi="QCF_P021" w:cs="QCF_P021"/>
          <w:b/>
          <w:bCs/>
          <w:color w:val="008000"/>
          <w:sz w:val="20"/>
          <w:szCs w:val="20"/>
          <w:rtl/>
        </w:rPr>
        <w:t>ﭣ ﭤ ﭥ ﭦ ﭧ ﭨ ﭩ ﭪ ﭫ ﭬ ﭭ ﭮ ﭯ ﭰ ﭱ ﭲ ﭳ ﭴ ﭵ ﭶ ﭷ ﭸ ﭹ ﭺ ﭻ ﭼ ﭽ ﭾ ﭿ ﮀ ﮁ ﮂ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ascii="QCF_P021" w:hAnsi="QCF_P021" w:cs="QCF_P021"/>
          <w:b/>
          <w:bCs/>
          <w:color w:val="008000"/>
          <w:sz w:val="20"/>
          <w:szCs w:val="20"/>
          <w:rtl/>
        </w:rPr>
        <w:t>ﮃ ﮄ ﮅ ﮆ ﮇ ﮈ ﮉ ﮊ ﮋ ﮌ ﮍ ﮎ ﮏ ﮐ ﮑ ﮒ ﮓ ﮔ ﮕ ﮖ ﮗ ﮘ ﮙ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ascii="QCF_P021" w:hAnsi="QCF_P021" w:cs="QCF_P021"/>
          <w:b/>
          <w:bCs/>
          <w:color w:val="008000"/>
          <w:sz w:val="20"/>
          <w:szCs w:val="20"/>
          <w:rtl/>
        </w:rPr>
        <w:t>ﮚ ﮛ ﮜ ﮝ ﮞ ﮟ ﮠ ﮡ ﮢ ﮣ ﮤ ﮥ ﮦ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>[البقرة:136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138].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فقد كان النصارى، يغمسون أولادَهم في ماء أصفر يسمونه المعمودية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ويقولون: إن ذلك تطهير لهم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فإذا فعل الواحد منهم ذلك بولده، قال: الآن صار نصرانيًّا حقًّا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يزال هذا العمل موجودًا إلى يومنا هذا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فكانوا يسمون ذلك الفعل صبغة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مصدر على وزن فِعلة بكسر الفاء وسكون العين، فهو اسم هيئة، والشاهد في الآية الكريمة قوله: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21" w:hAnsi="QCF_P021" w:cs="QCF_P021"/>
          <w:b/>
          <w:bCs/>
          <w:color w:val="008000"/>
          <w:sz w:val="20"/>
          <w:szCs w:val="20"/>
          <w:rtl/>
        </w:rPr>
        <w:t>ﮚ ﮛ</w:t>
      </w:r>
      <w:r w:rsidRPr="00C46313">
        <w:rPr>
          <w:rFonts w:ascii="QCF_P021" w:hAnsi="QCF_P021" w:cs="DecoType Thuluth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sz w:val="20"/>
          <w:szCs w:val="20"/>
          <w:rtl/>
        </w:rPr>
        <w:t>، أي: تطهير، فالمؤمنون أمروا أن يقولوا: طهرنا الله بالإيمان تطهيرًا لا كتطهير النصارى الذي يسمونه صبغًا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فالإيمان يُطهر النفوس ويزكيها من أدْرانها وأوساخها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فجيء بلفظ الصبغة مقصودًا به التطهير بالإيمان على سبيل المشاكلة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 لم يكن قد تقدَّم لفظ الصبغة؛ لأن قرينة الحال التي هي سبب الغمس، من غمس النصارى أولادهم في الماء الأصفر، دلت على ذلك.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ومثال ذلك أيضًا: أن تقول لرجل رأيته يغرس شجرًا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وأنت تعلم أنه يسيء عشرة أهله: اغرس المعروف في أهلك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فعبرتَ عن صنع المعروف بالغرس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بوقوعه في صحبة الغرس تقديرًا، بقرينة رؤيتك إيَّاه وهو يغرس الشجر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وكأنك قلت له: اغرس المعروف كما تغرس الشجر.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ومن هذا النوع، ما رُوي: أن بعض الولاة كان يغرس سيالًا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السيال شوك أبيض طويل إذا نُزع خرج منه مثل اللبن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وكان ذلك في جامع بغداد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فوقف عليه شاعر وأنشد: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37"/>
        <w:gridCol w:w="562"/>
        <w:gridCol w:w="2095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إن الولاية لا تدوم لواحد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إن كنت تنكره فأين الأول؟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lastRenderedPageBreak/>
              <w:t>واغرس من الفعل الجميل غرائس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فإذا عُزلت فإنها لا تُعزل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أقام اغرس مقام اسمع؛ ليشاكل فعل الوالي، وقد أوضحنا أن المشاكلة هي ذكر شيء بلفظ غيره، لوقوعه في صحبته تحقيقًا أو تقديرًا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وأنها قسم قائم برأسه من المحسنات البديعية، إلا أن هذا اللون نراه يجامع أحيانًا، وفي بعض الأساليب ألوانًا أخرى من الفنون البديعية؛ سواء المعنوية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أو اللفظية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تعارضَ بين المشاكلة في هذه الأساليب، وبين تلك الفنون.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وفي هذه الحالة حيثما نظرت إلى الأسلوب، وما فيه من ألوان المحسنات، أدخلته فيها، فإذا نظرت إلى ما فيه من المشاكلة فهو من باب المشاكلة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وإذا نظرت إلى ما فيه من ألوان أخرى، فهو من بابها. </w:t>
      </w:r>
    </w:p>
    <w:p w:rsidR="00C46313" w:rsidRPr="00C46313" w:rsidRDefault="00C46313" w:rsidP="00C46313">
      <w:pPr>
        <w:spacing w:before="100" w:beforeAutospacing="1" w:after="100" w:afterAutospacing="1" w:line="240" w:lineRule="auto"/>
        <w:jc w:val="lowKashida"/>
        <w:rPr>
          <w:rFonts w:cs="AL-Hotham"/>
          <w:b/>
          <w:bCs/>
          <w:color w:val="000080"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بعض الألوان التي تُجامع المشاكلة: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أ</w:t>
      </w:r>
      <w:r w:rsidRPr="00C46313">
        <w:rPr>
          <w:rFonts w:cs="Traditional Arabic" w:hint="cs"/>
          <w:b/>
          <w:bCs/>
          <w:color w:val="000080"/>
          <w:sz w:val="20"/>
          <w:szCs w:val="20"/>
          <w:rtl/>
        </w:rPr>
        <w:t>.</w:t>
      </w: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 xml:space="preserve"> الطباق: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أحد الألوان البديعية التي تُحسن المعنى وتزينه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وأنه الجمع بين المعنيين المتقابلين في الجملة.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والمشاكلة قد تُجامع الطباق إذا كان طرفاها ضدين، وذلك كقول القاضي شريح، لرجل أدلى عنده بشهادة: "إنك سبط الشهادة"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فقال الرجل: "إنها لم تجعد عني"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فالسبوطة، معناها: السهولة والاسترسال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والامتداد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والجعودة، معناها: الصعوبة والالتواء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وهما وصفان حقيقيان من أوصاف الشعر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يقال: شعر مسبوط، يعني: منظم ومرسل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وشعر مجعد، يعني: ملتوٍ ومتداخل بعضه في بعض، وقد أراد القاضي شريح، هنا من سبوطة الشعر، استمرار حفظها لدى الشاهد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وهذا تعبير مجازي مبناه التشبيه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فشاكل الرجل في الرد، وقال: إنها لم تجعد عني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يعني: لم تغِب ولم تصعب ولم تلتوِ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والذي سوغ له هذا، تسمية القاضي، استمرار الشهادة: سبوطة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فكان هذا مدعاة ذاك.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وفي هذا المثال، يتضح اجتماع المشاكلة مع الطباق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فالشاهد الذي أدلى بشهادته عند القاضي شريح، ساغ له أن يصف الشهادة بالجعودة في قوله: إنها لم تجعد عني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مشاكلًا بذلك قول القاضي له ابتداءً: "إنك لسبط الشهادة"، أما الطباق: فلأن السبوطة ضد الجعودة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كما هو واضح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والجمع بين الضدين؛ هو الطباق على نحو ما علمت.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ب</w:t>
      </w:r>
      <w:r w:rsidRPr="00C46313">
        <w:rPr>
          <w:rFonts w:cs="Traditional Arabic" w:hint="cs"/>
          <w:b/>
          <w:bCs/>
          <w:color w:val="000080"/>
          <w:sz w:val="20"/>
          <w:szCs w:val="20"/>
          <w:rtl/>
        </w:rPr>
        <w:t>.</w:t>
      </w: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 xml:space="preserve"> مراعاة النظير: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وهي الجمع في الكلام بين أمر وما يناسبه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لا بالتضاد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أحد الفنون البديعية المعنوية، وهذا اللون قد يجامع المشاكلة كالطباق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وذلك إذا كان طرفا المشاكلة متناسبين.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كما رُوي: أن رجلًا لم يؤدِّ ما عليه من فرائض نحو ربه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قال لناصح له: أليس لا إله إلا الله مِفتاح الجنة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؟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يقصد أن النطق بها كافٍ لتحقيق رضى الله عنه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فيدخله الجنة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فقال الناصح: وكل مفتاح له أسنان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وأسنان مفتاح الجنة الفرائض من صلاة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وصيام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وزكاة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وحج.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فسُمَّت هذه الفرائض أسنانًا على سبيل المشاكلة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حيث سمَّى الأول لا إله إلا الله مفتاحًا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وواضح أن طرفي المشاكلة، وهو المفتاح والأسنان، بينهما تناسب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فيكون أيضًا مراعاة النظير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فإذا نظرت إلى تسمية الفرائض أسنانًا؛ لوقوعها في صحبة المفتاح، قلتَ: إن في الأسلوب 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وإذا نظرت إلى التناسب بين المفتاح والأسنان، قلت: إن في هذا الأسلوب مراعاة النظير، وإذا نظرت إليهما معًا، قلت: في الأسلوب محسنان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مشاكلة باعتبار، ومراعاة نظير باعتبار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تعارضَ؛ لأن النكات البلاغية لا تتزاحم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وإنما قد تتوافر في الشاهد الواحد.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>ج</w:t>
      </w:r>
      <w:r w:rsidRPr="00C46313">
        <w:rPr>
          <w:rFonts w:cs="Traditional Arabic" w:hint="cs"/>
          <w:b/>
          <w:bCs/>
          <w:color w:val="000080"/>
          <w:sz w:val="20"/>
          <w:szCs w:val="20"/>
          <w:rtl/>
        </w:rPr>
        <w:t>.</w:t>
      </w:r>
      <w:r w:rsidRPr="00C46313">
        <w:rPr>
          <w:rFonts w:cs="AL-Hotham" w:hint="cs"/>
          <w:b/>
          <w:bCs/>
          <w:color w:val="000080"/>
          <w:sz w:val="20"/>
          <w:szCs w:val="20"/>
          <w:rtl/>
        </w:rPr>
        <w:t xml:space="preserve"> الجناس</w:t>
      </w:r>
      <w:r w:rsidRPr="00C46313">
        <w:rPr>
          <w:rFonts w:cs="AL-Hotham" w:hint="cs"/>
          <w:b/>
          <w:bCs/>
          <w:color w:val="000080"/>
          <w:sz w:val="20"/>
          <w:szCs w:val="20"/>
          <w:rtl/>
          <w:lang w:bidi="ar-EG"/>
        </w:rPr>
        <w:t>: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 معناه عند البلاغيين: تشابه الكلمتين لفظًا مع اختلافهما معنًى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من المحسنات اللفظية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 xml:space="preserve">، والمشاكلة </w:t>
      </w:r>
      <w:r w:rsidRPr="00C46313">
        <w:rPr>
          <w:rFonts w:cs="AL-Hotham" w:hint="cs"/>
          <w:b/>
          <w:bCs/>
          <w:sz w:val="20"/>
          <w:szCs w:val="20"/>
          <w:rtl/>
        </w:rPr>
        <w:t>قد تجامع هذا اللون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ونذكر من ذلك، ما جاء في قوله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487" w:hAnsi="QCF_P487" w:cs="QCF_P487"/>
          <w:b/>
          <w:bCs/>
          <w:color w:val="008000"/>
          <w:sz w:val="20"/>
          <w:szCs w:val="20"/>
          <w:rtl/>
        </w:rPr>
        <w:t xml:space="preserve"> ﮬ ﮭ ﮮ ﮯ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}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وقوله: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30" w:hAnsi="QCF_P030" w:cs="QCF_P030"/>
          <w:b/>
          <w:bCs/>
          <w:color w:val="008000"/>
          <w:sz w:val="20"/>
          <w:szCs w:val="20"/>
          <w:rtl/>
        </w:rPr>
        <w:t xml:space="preserve"> ﮎ ﮏ ﮐ ﮑ ﮒ ﮓ ﮔ ﮕ ﮖ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فإذا نظرتَ إلى ذكر الجزاء بلفظ السيئة، وهي السيئة الثانية؛ لوقوعه في صحبة السيئة الأولى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قلت: أن في الآية 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وإذا نظرت إلى أن الكلمتين اتفقتا في اللفظ واختلفتَا في المعنى قلت: أن في الآية جناسًا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وإذا نظرت إليهما معًا قلت: أن في الآية مشاكلة وجناسًا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والآية الثانية، وقع فيها الجزاء بلفظ الاعتداء؛ لوقوعه في صحبة الاعتداء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فإذا نظرت إلى هذا، قلتَ: أن فيه 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وإذا نظرت إلى أن اعتدى، واعتدوا كلمتان تشابهتا لفظًا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واختلفتَا معنًى، قلتَ: في الآية جناس، ولا تعارض.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lastRenderedPageBreak/>
        <w:t xml:space="preserve">والسؤال هنا: هل المشاكلة حقيقة، أو هي من قبيل المجاز؟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وللجواب نقول: إن المجاز، هو استعمال اللفظ في معنًى غير المعنى الموضوع له؛ لعلاقة بين المعنى الحقيقي والمجازي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وقرينة تمنع من إرادة المعنى الحقيقي، وإذا نظرنا إلى المشاكلة ومعناها، وجدنا أن اللفظ فيها مستعمل في معنًى غير المعنى الذي وضع له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فمثلًا لفظ الاعتداء الثاني، في قوله تعالى: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30" w:hAnsi="QCF_P030" w:cs="QCF_P030"/>
          <w:b/>
          <w:bCs/>
          <w:color w:val="008000"/>
          <w:sz w:val="20"/>
          <w:szCs w:val="20"/>
          <w:rtl/>
        </w:rPr>
        <w:t xml:space="preserve"> ﮎ ﮏ ﮐ ﮑ ﮒ ﮓ ﮔ ﮕ ﮖ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}</w:t>
      </w:r>
      <w:r w:rsidRPr="00C46313">
        <w:rPr>
          <w:rFonts w:cs="AL-Hotham" w:hint="cs"/>
          <w:b/>
          <w:bCs/>
          <w:sz w:val="20"/>
          <w:szCs w:val="20"/>
          <w:rtl/>
        </w:rPr>
        <w:t>، ليس مستعملًا في معناه الوضعي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الفعل المذموم المعاقَب عليه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وإنما استعمل في الجزاء والعقاب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وهذا يعني: أن المشاكلة ليست من قبيل الحقيقة اللغوية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فهل هي من قبيل المجاز اللغوي؟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بعض العلماء، لا يرى اندراج المشاكلة، في باب المجاز اللغوي؛ لعدم انطباق معناه عليها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ذلك أن المجاز لا بد فيه من علاقة مصححة لاستعمال اللفظ في غير ما وضع له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وعلاقات المجاز أحصاها العلماء وتعارفوا عليها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فإذا كانت العلاقة المشابهة؛ كان المجاز استعارة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وإلا فالمجاز المرسل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وعلاقاته معروفة ومحصورة، وإذا فتشنا في المشاكلة، عن العلاقة التي جوَّزت النقل وسوغت استعمال اللفظ في معنى غير معناه الموضوع له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وجدنا ألَّا علاقة في نظر هؤلاء البعض، سوى وقوع اللفظ الثاني في صحبة اللفظ الأول، حقيقةً أو تقديرًا.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وأن هذا الوقوع فقط، هو المسوغ لمجيء المعنى الثاني، بلفظ المعنى الأول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وهذا المسوغ لا يرقى إلى درجة المجاز؛ إذ أن الوقوع ليس معدودًا ضمن علاقات المجاز المتعارف عليه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فلا تكون المشاكلة من باب المجاز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وإذا كانت المشاكلة لا تدخل في باب الحقيقة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كما أنها لا تدخل في باب المجاز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فإن هذا الفريق من البلاغيين، يرى أن المشاكلة واسطة بين الحقيقة والمجاز.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ويقول العلامة بهاء الدين السبكي، في: (عروس الأفراح): "والتحقيق أن المشاكلة من حيث هي مشاكلة ليست حقيقة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مجازًا؛ لأنها مجرد ذكر المصاحب بلفظ غيره لاصطحابه"، جاء ذلك في شروح التلخيص.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 xml:space="preserve">ويعلق العلامة عبد الحكيم، في حاشيته على تعريف السعد التفتازاني، في: (المطول)، للمشاكلة بقوله: قال الشارح 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>يقصد السعد التفتازاني في شرحه لـ(المفتاح)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سواء كان بينهما شيء من العلاقات المعتبرة في المجاز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كإطلاق السيئة على جزاء السيئة المسبب عنها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المترتب عليها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أو لا، كإطلاق الطبخ على خياطة الجبة والقميص.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ومن ههنا قوي إشكال المشاكلة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لأنها ليست بحقيقة وهو ظاهر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المجاز؛ لعدم العلاقة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محيص سوى التزام قسم ثالث في الاستعمال الصحيح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أو القول بأن الواقع المذكور نوع من العلاقة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فيكون مجازًا.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ويكمل الشيخ عبد الحكيم، تعليقه فيقول أيضًا ما نصه: القول بكونه مجازًا ينافي كونه من المحسنات البديعية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وأنه لا بد في المجاز من اللزوم بين المعنيين في الجملة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فتعين الوجه الأول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ولعل السر في ذلك، أن المشاكلة نقل المعنى من لباس إلى لباس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فإن اللفظ بمنزلة اللباس؛ ففيه إراءة المعنى بصورة عجيبة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فيكفيه الوقوع في الصحبة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ويكون محسنًا معنويًّا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وفي المجاز نقل اللفظ من معنًى إلى معنى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فلا بد من علاقة مصححة للانتقال، والتغليب أيضًا من هذا القسم؛ إذ فيه أيضًا نقل المعنى من لباس إلى لباس آخر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 صرح الشارح 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>رحمه الله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فيما سبق بكونه من باب المجاز.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والحقيقة، والمجاز، والكناية أقسام للكلمة، إذا كان المقصود استعمال اللفظ في المعنى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وأما إذا كان المقصود نقل المعنى من لفظ إلى آخر فهو ليس شيئًا منه.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 xml:space="preserve">ويذهب العلامة عبد الحكيم 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>كما يذهب السبكي</w:t>
      </w:r>
      <w:r w:rsidRPr="00C46313">
        <w:rPr>
          <w:rFonts w:cs="Traditional Arabic" w:hint="cs"/>
          <w:b/>
          <w:bCs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إلى أن المشاكلة واسطة بين الحقيقة والمجاز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وخروج المشاكلة عن باب الحقيقة، أمر لا جدالَ فيه ولا مناقشة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َ،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وذلك لوضوحه وجلائه.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أما كونها خارجة أيضًا عن باب المجاز، فهو موضع نظر ومناقشة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وذلك إذا تتبعنا أمثلة المشاكلة وأساليبها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وجدنا في كل منها نوعًا من علاقات المجاز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سواء المشابهة أو غيرها من علاقات المجاز المرسل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فنجد علاقة المشابهة، في قول أبي الرقعمق السابق: 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2"/>
        <w:gridCol w:w="564"/>
        <w:gridCol w:w="2138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قالوا اقترح شيئًا نجد لك طبخه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قلت اطبخوا لي جبة وقميصًا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120" w:line="240" w:lineRule="auto"/>
        <w:jc w:val="both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lastRenderedPageBreak/>
        <w:t>حيث عبر الشاعر عن الخياطة بالطبخ؛ تشبيهًا لها به، في كونها مما ينبغي أن تكون موضع رغبتهم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ومحل عنايتهم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فإذا كانت رغبتهم قد اتجهت إلى الطبخ ليطعموا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فينبغي أن تكون منهم مثل تلك الرغبة في خياطة جبة وقميص، يتقي بهما قارس البرد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ويعتصم من أذاه، وإجراء الاستعارة في هذا الأسلوب على هذا النحو لا تجد فيه حرجًا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أو غَضاضةً، كما نجد المجاز المرسل لعلاقة السببية في قوله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487" w:hAnsi="QCF_P487" w:cs="QCF_P487"/>
          <w:b/>
          <w:bCs/>
          <w:color w:val="008000"/>
          <w:sz w:val="20"/>
          <w:szCs w:val="20"/>
          <w:rtl/>
        </w:rPr>
        <w:t>ﮬ ﮭ ﮮ ﮯ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وقوله: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30" w:hAnsi="QCF_P030" w:cs="QCF_P030"/>
          <w:b/>
          <w:bCs/>
          <w:color w:val="008000"/>
          <w:sz w:val="20"/>
          <w:szCs w:val="20"/>
          <w:rtl/>
        </w:rPr>
        <w:t>ﮎ ﮏ ﮐ ﮑ ﮒ ﮓ ﮔ ﮕ ﮖ</w:t>
      </w:r>
      <w:r w:rsidRPr="00C46313">
        <w:rPr>
          <w:rFonts w:ascii="QCF_P030" w:hAnsi="QCF_P030" w:cs="DecoType Thuluth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[البقرة: 194]، وقوله: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281" w:hAnsi="QCF_P281" w:cs="QCF_P281"/>
          <w:b/>
          <w:bCs/>
          <w:color w:val="008000"/>
          <w:sz w:val="20"/>
          <w:szCs w:val="20"/>
          <w:rtl/>
        </w:rPr>
        <w:t>ﯡ ﯢ ﯣ ﯤ ﯥ ﯦ ﯧ ﯨ ﯩ ﯪ ﯫ ﯬ ﯭ</w:t>
      </w:r>
      <w:r w:rsidRPr="00C46313">
        <w:rPr>
          <w:rFonts w:ascii="QCF_P281" w:hAnsi="QCF_P281" w:cs="DecoType Thuluth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46313">
        <w:rPr>
          <w:rFonts w:cs="AL-Hotham" w:hint="cs"/>
          <w:b/>
          <w:bCs/>
          <w:sz w:val="20"/>
          <w:szCs w:val="20"/>
          <w:rtl/>
        </w:rPr>
        <w:t>[النحل: 126].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بل إن الخطيب القزويني، في إيضاحه ساق بعض هذه الآيات شاهدًا على هذا المجاز المرسل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الذي تكون علاقته السببية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كما ساقها نفسها مثالًا للمشاكلة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لذا فإنا نطمئن إلى أن المشاكلة تدخل في باب المجاز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 xml:space="preserve">، </w:t>
      </w:r>
      <w:r w:rsidRPr="00C46313">
        <w:rPr>
          <w:rFonts w:cs="AL-Hotham" w:hint="cs"/>
          <w:b/>
          <w:bCs/>
          <w:sz w:val="20"/>
          <w:szCs w:val="20"/>
          <w:rtl/>
        </w:rPr>
        <w:t>سواء الاستعارة أو المجاز المرسل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وهذا لا تعارض فيه؛ إذ أن عدها في باب المشاكلة منظور فيه إلى الوقوع في صحبة اللفظ الأول الدال على معناه الحقيقي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 هذا يحسن المعنى ويكسبه جلالًا وشرفًا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وعدّها من باب المجاز منظور فيه إلى أن استعمال اللفظ في غير ما وُضع له لعلاقة مصححة لهذا النقل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وقرينة مانعة من إرادة المعنى الأصلي.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وسؤال آخر يطرح نفسه: هل المشاكلة محسن لفظي أو معنوي؟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وللجواب نقول: إن المحسن المعنوي، هو ما كان التحسين فيه راجعًا إلى المعنى أولًا بالذات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وإلى اللفظ ثانيًا وبالعرض، وأن المحسن اللفظي عكس ذلك، وأن البلاغيين وضعوا ضابطًا للمحسن المعنوي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أنك إذا غيرت اللفظ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أو أبدلته بغيره لم يخل ذلك بالمحسن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بل يبقى كما هو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وعكس ذلك المحسن اللفظي، وإذا نظرنا إلى معنى المشاكلة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وأنها ذكر الشيء بلفظ غيره، لوقوعه في صحبته تحقيقًا أو تقديرًا، نجد أن هذا المعنى يتناول الألفاظ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ويومئ إلى أن التصرف والوقوع في الصحبة إنما كان في جانب الألفاظ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فهل معنى هذا أن التحسين في المشاكلة، إنما كان في الألفاظ قصدًا وأصالة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 xml:space="preserve">ً، </w:t>
      </w:r>
      <w:r w:rsidRPr="00C46313">
        <w:rPr>
          <w:rFonts w:cs="AL-Hotham" w:hint="cs"/>
          <w:b/>
          <w:bCs/>
          <w:sz w:val="20"/>
          <w:szCs w:val="20"/>
          <w:rtl/>
        </w:rPr>
        <w:t>وإن كان ثمة تحسين للمعنى، فإنما جاء تبعًا لا قصدًا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وتكون على هذا لونًا من المحسنات اللفظية؟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الحقيقة: أن المشاكلة وإن جنح معناها إلى جانب اللفظ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إلَّا أنها معدودة ضمن المحسنات المعنوية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والبلاغيون ينظمونها ضمن فنون هذا القسم وألوانه، ذلك أن نقل اللفظ من معناه إلى معنى آخر، يُضفي على المعنى الثاني بهاءً ويكسوه جلالًا وجمالًا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كما أن التصرف في المعنى على هذا النحو، يجعلك أمام معنيين: معنى حقيقي لا يحتاج إلى فكر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ومعنى آخر يحتاج إلى فكر وتدبر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والمشاكلة معدودة ضمن الفنون المعنوية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حتى ولو جامعت محسنًا لفظيًّا كالجناس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وإنك لا تَعُدُّ الأساليب التي جامعت فيها الجناس محسنًا من القسم اللفظي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إلَّا إذا نظرت إلى الجناس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وإلى اتحاد كلمتين في اللفظ واختلافهما في المعنى فقط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دونما نظر إلى ذكر معنًى بلفظ غيره للمصاحبة، فأما إذا نظرت إلى ذلك وإلى أن التصرف كان في جانب المعاني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فلا خلاف في أنها من المحسنات المعنوية.</w:t>
      </w:r>
    </w:p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وسؤال أخير يطرح نفسه: ما هو أثر المشاكلة إذا كانت بهذا القدر من الأهمية في بلاغة الكلام؟</w:t>
      </w:r>
    </w:p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pacing w:val="4"/>
          <w:sz w:val="20"/>
          <w:szCs w:val="20"/>
          <w:rtl/>
        </w:rPr>
      </w:pP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>ونقول: أن المشاكلة تدخل في باب المجاز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سواء الاستعارة أو المجاز المرسل، ولا شك أن المجاز </w:t>
      </w:r>
      <w:r w:rsidRPr="00C46313">
        <w:rPr>
          <w:rFonts w:cs="Traditional Arabic" w:hint="cs"/>
          <w:b/>
          <w:bCs/>
          <w:spacing w:val="4"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>وهو من أبواب علم البيان</w:t>
      </w:r>
      <w:r w:rsidRPr="00C46313">
        <w:rPr>
          <w:rFonts w:cs="Traditional Arabic" w:hint="cs"/>
          <w:b/>
          <w:bCs/>
          <w:spacing w:val="4"/>
          <w:sz w:val="20"/>
          <w:szCs w:val="20"/>
          <w:rtl/>
        </w:rPr>
        <w:t>-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يدخل في صميم البلاغة ومعناها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ولا خلاف على ذلك بين البلاغيين ونُقاد الأدب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غير أن دخول المشاكلة في صميم البلاغة، ليس من هذه الناحية فقط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بل إن أسلوب المشاكلة بما له من مقاصد يؤديها المتكلمون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وأغراض يرمون إليها، يُعد من متممات الكلام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ولا تصح للكلام بلاغته إلَّا به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ولا يعني هذا أن هذا اللون مطلوب في كل الأساليب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ولكن البلاغة لا تكتمل في الأساليب التي وردت على هذا الفن إلَّا به</w:t>
      </w:r>
      <w:r w:rsidRPr="00C46313">
        <w:rPr>
          <w:rFonts w:cs="AL-Hotham" w:hint="cs"/>
          <w:b/>
          <w:bCs/>
          <w:spacing w:val="4"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pacing w:val="4"/>
          <w:sz w:val="20"/>
          <w:szCs w:val="20"/>
          <w:rtl/>
        </w:rPr>
        <w:t xml:space="preserve"> وقد سبقت الإشارة إلى ذلك تعليقًا على قول الأنطاكي: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2"/>
        <w:gridCol w:w="564"/>
        <w:gridCol w:w="2138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قالوا اقترح شيئًا نجد لك طبخه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قلت اطبخوا لي جبة وقميصًا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ومما هو شبيه ببيت الأنطاكي، بيت ابن جابر الأندلسي، الذي يقول فيه: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9"/>
        <w:gridCol w:w="565"/>
        <w:gridCol w:w="2140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قالوا اتخذ دهنًا لقلبك يشفه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قلت ادهنوه بخدها المتورد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lastRenderedPageBreak/>
        <w:t>وأسلوب المشاكلة في البيت من الوضوح بحيث لا يخفى عليك، ولكن يزداد الأمر جلاءً ووضوحًا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إذا قال قائل: بل اسقيني طعامًا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ردًّا على من سأله: هل أسقيك ماءً؟ </w:t>
      </w:r>
    </w:p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فقد أبان القائل عمَّا في نفسه من أغراض بهذه المشاكلة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واستطاع أن يحقق بهذا الأسلوب عدَّة مقاصد، فلقد أبرز حاجته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وكشف عن مطلبه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وهو الطعام، وأنه ليس بحاجة إلى الماء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كما نبه المتكلم إلى سهوه وغفلته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وقد كان عليه أن يعلم حاجته إلى الطعام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وكأنه يوبخه قائلًا: كيف يشرب الجائع؟ </w:t>
      </w:r>
    </w:p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وجاءت أغراض المتكلم، في صورة موجزة دون إطناب أو تطويل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وفي قول الأنطاكي في البيت المشهور: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2"/>
        <w:gridCol w:w="564"/>
        <w:gridCol w:w="2138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قالوا اقترح شيئًا نجد لك طبخه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قلت اطبخوا لي جبة وقميصًا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240" w:line="240" w:lineRule="auto"/>
        <w:jc w:val="lowKashida"/>
        <w:rPr>
          <w:rFonts w:cs="AL-Hotham"/>
          <w:b/>
          <w:bCs/>
          <w:sz w:val="20"/>
          <w:szCs w:val="20"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نجد أن الشاعر كان له إخوان أربعة ينادمهم أيام كافور الإخشيدي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فجاءه رسولهم في يوم قارس البرد، وليست له كسوة تقيه شره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فقال له: إخوانك يقرءونك السلام، ويقولون لك: قد اصطبحنا اليوم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وذبحنا شاة سمينة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فاشتهِ ما نطبخ لك منها فكتب إليهم: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1"/>
        <w:gridCol w:w="557"/>
        <w:gridCol w:w="2126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إخواننا قصدوا الصبوح بسحرة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فأتى رسولهم إلي خصوصًا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قالوا اقترح شيئًا نجد لك طبخه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قلت اطبخوا لي جبة وقميصًا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فقد عبر الشاعر عن الخياطة بالطبخ؛ تشبيهًا لها به في كونها مما ينبغي أن تكون موضع رغبتهم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ومحل عنايتهم إذا كانت رغبتهم متجهة إلى الطبخ؛ ليأكل ما طبخوه، فينبغي أن تكون منهم تلك الرغبة في خياطة جُبة وقميص، يقيانه شر البرد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ويعتصم بهما من أذاه. 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وقد وصل الشاعر إلى غرضه، بتنبيههم إلى ما يريد بهذا الأسلوب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مع ما اشتمل عليه من استعارة رائعة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أليس هذا كافيًا لأن تكون للمشاكلة قوة وأثرًا في بلاغة الاسلوب وسموِّه ورفِعته؟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 xml:space="preserve">وفي قول الله تعالى: 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46313">
        <w:rPr>
          <w:rFonts w:ascii="QCF_P021" w:hAnsi="QCF_P021" w:cs="QCF_P021"/>
          <w:b/>
          <w:bCs/>
          <w:color w:val="008000"/>
          <w:sz w:val="20"/>
          <w:szCs w:val="20"/>
          <w:rtl/>
        </w:rPr>
        <w:t xml:space="preserve"> ﮚ ﮛ ﮜ ﮝ ﮞ ﮟ ﮠ ﮡ</w:t>
      </w:r>
      <w:r w:rsidRPr="00C4631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46313">
        <w:rPr>
          <w:rFonts w:cs="AL-Hotham" w:hint="cs"/>
          <w:b/>
          <w:bCs/>
          <w:sz w:val="20"/>
          <w:szCs w:val="20"/>
          <w:rtl/>
        </w:rPr>
        <w:t>، وتسمية تطهير الله صبغة، مشاكلة لفعل اليهود أو النصارى، إشارة إلى أن الإسلام الذي أراده الله لخلقه هو المطهر الحقيقي للنفوس والصدور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دون فعل اليهود أو النصارى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وأن فعل هؤلاء الذي يسمونه صبغًا لا يظهر له أثر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ولا علامة له؛ بينما أثر الإسلام وعلاماته ظاهرة واضحة على المؤمنين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كما يظهر أثر الصبغ في الثوب.</w:t>
      </w:r>
    </w:p>
    <w:p w:rsidR="00C46313" w:rsidRPr="00C46313" w:rsidRDefault="00C46313" w:rsidP="00C4631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وقول بعض شعراء ملوك حِمدان: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8"/>
        <w:gridCol w:w="563"/>
        <w:gridCol w:w="2133"/>
      </w:tblGrid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وكل أناس لهم صبغة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وصبغة حمدان خير الصبغ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46313" w:rsidRPr="00C4631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صبغنا على ذاك أبناءنا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4631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46313" w:rsidRPr="00C46313" w:rsidRDefault="00C46313" w:rsidP="00C4631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46313">
              <w:rPr>
                <w:rFonts w:cs="AGA Furat Regular" w:hint="cs"/>
                <w:b/>
                <w:bCs/>
                <w:rtl/>
              </w:rPr>
              <w:t>فأكرم بصبغتنا في الصبغ</w:t>
            </w:r>
            <w:r w:rsidRPr="00C4631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46313" w:rsidRPr="00C46313" w:rsidRDefault="00C46313" w:rsidP="00C46313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46313">
        <w:rPr>
          <w:rFonts w:cs="AL-Hotham" w:hint="cs"/>
          <w:b/>
          <w:bCs/>
          <w:sz w:val="20"/>
          <w:szCs w:val="20"/>
          <w:rtl/>
        </w:rPr>
        <w:t>فهذه الإفادة التي أفادتها الآية الكريمة، داخلة في مقاصد الكلام ومراميه</w:t>
      </w:r>
      <w:r w:rsidRPr="00C4631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46313">
        <w:rPr>
          <w:rFonts w:cs="AL-Hotham" w:hint="cs"/>
          <w:b/>
          <w:bCs/>
          <w:sz w:val="20"/>
          <w:szCs w:val="20"/>
          <w:rtl/>
        </w:rPr>
        <w:t xml:space="preserve"> واللون الذي حقق هذه الإفادة، له مدخل في بلاغة الآية وإعجازها.</w:t>
      </w:r>
    </w:p>
    <w:p w:rsidR="00C46313" w:rsidRPr="00C46313" w:rsidRDefault="00C46313" w:rsidP="00C463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 w:hint="cs"/>
          <w:b/>
          <w:bCs/>
          <w:sz w:val="20"/>
          <w:szCs w:val="20"/>
          <w:rtl/>
          <w:lang w:bidi="ar-IQ"/>
        </w:rPr>
        <w:t>المراجع والمصادر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lastRenderedPageBreak/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الخوارزمي ، الشيخ يوسف بن أبي بكر بن محمد بن علي الخوارزمي الملقب بسراج الدين</w:t>
      </w:r>
      <w:r w:rsidRPr="00C46313">
        <w:rPr>
          <w:rFonts w:asciiTheme="majorBidi" w:hAnsiTheme="majorBidi" w:cs="AL-Hotham"/>
          <w:b/>
          <w:bCs/>
          <w:sz w:val="20"/>
          <w:szCs w:val="20"/>
          <w:lang w:bidi="ar-IQ"/>
        </w:rPr>
        <w:t xml:space="preserve"> </w:t>
      </w: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C46313" w:rsidRPr="00C46313" w:rsidRDefault="00C46313" w:rsidP="00C46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4631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C46313" w:rsidRPr="00C46313" w:rsidRDefault="00C46313" w:rsidP="00C46313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</w:p>
    <w:p w:rsidR="00C46313" w:rsidRPr="00C46313" w:rsidRDefault="00C46313" w:rsidP="00C4631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</w:p>
    <w:p w:rsidR="00C46313" w:rsidRPr="00C46313" w:rsidRDefault="00C46313" w:rsidP="00C4631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</w:p>
    <w:p w:rsidR="00C46313" w:rsidRPr="00C46313" w:rsidRDefault="00C46313" w:rsidP="00C46313">
      <w:pPr>
        <w:spacing w:line="240" w:lineRule="auto"/>
        <w:rPr>
          <w:b/>
          <w:bCs/>
          <w:i/>
          <w:iCs/>
          <w:sz w:val="20"/>
          <w:szCs w:val="20"/>
          <w:lang w:bidi="ar-EG"/>
        </w:rPr>
      </w:pPr>
    </w:p>
    <w:sectPr w:rsidR="00C46313" w:rsidRPr="00C46313" w:rsidSect="00C46313">
      <w:type w:val="continuous"/>
      <w:pgSz w:w="11906" w:h="16838"/>
      <w:pgMar w:top="964" w:right="1021" w:bottom="964" w:left="1021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45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9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8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QCF_P03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2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8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D2B03F2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6313"/>
    <w:rsid w:val="00514443"/>
    <w:rsid w:val="00581655"/>
    <w:rsid w:val="00641D4E"/>
    <w:rsid w:val="00665744"/>
    <w:rsid w:val="009556CB"/>
    <w:rsid w:val="00BF7572"/>
    <w:rsid w:val="00C4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3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6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4631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2563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2013-06-14T12:25:00Z</dcterms:created>
  <dcterms:modified xsi:type="dcterms:W3CDTF">2013-06-17T08:25:00Z</dcterms:modified>
</cp:coreProperties>
</file>