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523A65" w:rsidP="00523A65">
      <w:pPr>
        <w:spacing w:line="240" w:lineRule="auto"/>
        <w:jc w:val="center"/>
        <w:rPr>
          <w:i/>
          <w:iCs/>
          <w:rtl/>
        </w:rPr>
      </w:pPr>
      <w:r w:rsidRPr="00523A65">
        <w:rPr>
          <w:rFonts w:asciiTheme="majorBidi" w:eastAsia="Calibri" w:hAnsiTheme="majorBidi" w:cs="AL-Hotham"/>
          <w:i/>
          <w:iCs/>
          <w:sz w:val="48"/>
          <w:szCs w:val="48"/>
          <w:rtl/>
        </w:rPr>
        <w:t>مزايا المجاز المرسل</w:t>
      </w:r>
    </w:p>
    <w:p w:rsidR="00523A65" w:rsidRPr="00E87483" w:rsidRDefault="00523A65" w:rsidP="00523A65">
      <w:pPr>
        <w:spacing w:line="240" w:lineRule="auto"/>
        <w:jc w:val="center"/>
        <w:rPr>
          <w:rFonts w:asciiTheme="majorBidi" w:hAnsiTheme="majorBidi" w:cs="AL-Hotham"/>
          <w:i/>
          <w:iCs/>
          <w:sz w:val="28"/>
          <w:szCs w:val="28"/>
          <w:rtl/>
        </w:rPr>
      </w:pPr>
      <w:r w:rsidRPr="00E87483">
        <w:rPr>
          <w:rFonts w:asciiTheme="majorBidi" w:hAnsiTheme="majorBidi" w:cs="AL-Hotham"/>
          <w:i/>
          <w:iCs/>
          <w:sz w:val="28"/>
          <w:szCs w:val="28"/>
          <w:rtl/>
        </w:rPr>
        <w:t xml:space="preserve">بحث  فى </w:t>
      </w:r>
      <w:r w:rsidRPr="00E87483">
        <w:rPr>
          <w:rFonts w:asciiTheme="majorBidi" w:hAnsiTheme="majorBidi" w:cs="AL-Hotham" w:hint="cs"/>
          <w:i/>
          <w:iCs/>
          <w:sz w:val="28"/>
          <w:szCs w:val="28"/>
          <w:rtl/>
        </w:rPr>
        <w:t>دراسات بلاغيه</w:t>
      </w:r>
    </w:p>
    <w:p w:rsidR="00523A65" w:rsidRPr="00E87483" w:rsidRDefault="00523A65" w:rsidP="005F770F">
      <w:pPr>
        <w:spacing w:line="240" w:lineRule="auto"/>
        <w:jc w:val="center"/>
        <w:rPr>
          <w:rFonts w:asciiTheme="majorBidi" w:hAnsiTheme="majorBidi" w:cs="AL-Hotham"/>
        </w:rPr>
      </w:pPr>
      <w:r w:rsidRPr="00E87483">
        <w:rPr>
          <w:rFonts w:asciiTheme="majorBidi" w:hAnsiTheme="majorBidi" w:cs="AL-Hotham"/>
          <w:rtl/>
        </w:rPr>
        <w:t xml:space="preserve">إعداد أ/ </w:t>
      </w:r>
      <w:proofErr w:type="spellStart"/>
      <w:r w:rsidR="005F770F" w:rsidRPr="005F770F">
        <w:rPr>
          <w:rFonts w:asciiTheme="majorBidi" w:hAnsiTheme="majorBidi" w:cs="AL-Hotham" w:hint="cs"/>
          <w:i/>
          <w:iCs/>
          <w:rtl/>
        </w:rPr>
        <w:t>ميريهان</w:t>
      </w:r>
      <w:proofErr w:type="spellEnd"/>
      <w:r w:rsidR="005F770F" w:rsidRPr="005F770F">
        <w:rPr>
          <w:rFonts w:asciiTheme="majorBidi" w:hAnsiTheme="majorBidi" w:cs="AL-Hotham" w:hint="cs"/>
          <w:i/>
          <w:iCs/>
          <w:rtl/>
        </w:rPr>
        <w:t xml:space="preserve"> مجدي محمود</w:t>
      </w:r>
    </w:p>
    <w:p w:rsidR="00523A65" w:rsidRPr="00E87483" w:rsidRDefault="00523A65" w:rsidP="00523A65">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قسم اللغة العربية</w:t>
      </w:r>
    </w:p>
    <w:p w:rsidR="00523A65" w:rsidRPr="00E87483" w:rsidRDefault="00523A65" w:rsidP="00523A65">
      <w:pPr>
        <w:spacing w:line="240" w:lineRule="auto"/>
        <w:jc w:val="center"/>
        <w:rPr>
          <w:rFonts w:asciiTheme="majorBidi" w:hAnsiTheme="majorBidi" w:cs="AL-Hotham"/>
          <w:i/>
          <w:iCs/>
          <w:sz w:val="20"/>
          <w:szCs w:val="20"/>
        </w:rPr>
      </w:pPr>
      <w:r w:rsidRPr="00E87483">
        <w:rPr>
          <w:rFonts w:asciiTheme="majorBidi" w:hAnsiTheme="majorBidi" w:cs="AL-Hotham"/>
          <w:i/>
          <w:iCs/>
          <w:sz w:val="20"/>
          <w:szCs w:val="20"/>
          <w:rtl/>
        </w:rPr>
        <w:t>كلية اللغات – جامعة المدينة العالمية</w:t>
      </w:r>
    </w:p>
    <w:p w:rsidR="00523A65" w:rsidRPr="00E87483" w:rsidRDefault="00523A65" w:rsidP="00523A65">
      <w:pPr>
        <w:spacing w:line="240" w:lineRule="auto"/>
        <w:jc w:val="center"/>
        <w:rPr>
          <w:rFonts w:asciiTheme="majorBidi" w:hAnsiTheme="majorBidi" w:cs="AL-Hotham"/>
          <w:i/>
          <w:iCs/>
          <w:sz w:val="20"/>
          <w:szCs w:val="20"/>
          <w:rtl/>
        </w:rPr>
      </w:pPr>
      <w:r w:rsidRPr="00E87483">
        <w:rPr>
          <w:rFonts w:asciiTheme="majorBidi" w:hAnsiTheme="majorBidi" w:cs="AL-Hotham"/>
          <w:i/>
          <w:iCs/>
          <w:sz w:val="20"/>
          <w:szCs w:val="20"/>
          <w:rtl/>
        </w:rPr>
        <w:t>شاه علم – ماليزيا</w:t>
      </w:r>
    </w:p>
    <w:p w:rsidR="00523A65" w:rsidRPr="00E87483" w:rsidRDefault="005F770F" w:rsidP="00523A65">
      <w:pPr>
        <w:spacing w:line="240" w:lineRule="auto"/>
        <w:jc w:val="center"/>
        <w:rPr>
          <w:rFonts w:asciiTheme="majorBidi" w:hAnsiTheme="majorBidi" w:cs="AL-Hotham"/>
          <w:i/>
          <w:iCs/>
          <w:sz w:val="20"/>
          <w:szCs w:val="20"/>
        </w:rPr>
      </w:pPr>
      <w:r w:rsidRPr="005F770F">
        <w:rPr>
          <w:rFonts w:asciiTheme="majorBidi" w:hAnsiTheme="majorBidi" w:cs="AL-Hotham"/>
          <w:i/>
          <w:iCs/>
          <w:sz w:val="20"/>
          <w:szCs w:val="20"/>
        </w:rPr>
        <w:t>mirihan@mediu.ws</w:t>
      </w:r>
    </w:p>
    <w:p w:rsidR="00523A65" w:rsidRDefault="00523A65" w:rsidP="00523A65">
      <w:pPr>
        <w:spacing w:after="120" w:line="240" w:lineRule="auto"/>
        <w:jc w:val="lowKashida"/>
        <w:rPr>
          <w:rFonts w:asciiTheme="majorBidi" w:hAnsiTheme="majorBidi" w:cs="AL-Hotham"/>
          <w:b/>
          <w:bCs/>
          <w:sz w:val="18"/>
          <w:szCs w:val="18"/>
          <w:rtl/>
        </w:rPr>
        <w:sectPr w:rsidR="00523A65" w:rsidSect="00BF7572">
          <w:pgSz w:w="11906" w:h="16838"/>
          <w:pgMar w:top="964" w:right="1021" w:bottom="964" w:left="1021" w:header="709" w:footer="709" w:gutter="0"/>
          <w:cols w:space="708"/>
          <w:bidi/>
          <w:rtlGutter/>
          <w:docGrid w:linePitch="360"/>
        </w:sectPr>
      </w:pPr>
    </w:p>
    <w:p w:rsidR="00523A65" w:rsidRPr="00523A65" w:rsidRDefault="00523A65" w:rsidP="00523A65">
      <w:pPr>
        <w:spacing w:after="120" w:line="240" w:lineRule="auto"/>
        <w:jc w:val="lowKashida"/>
        <w:rPr>
          <w:rFonts w:asciiTheme="majorBidi" w:hAnsiTheme="majorBidi" w:cs="AL-Hotham"/>
          <w:b/>
          <w:bCs/>
          <w:sz w:val="18"/>
          <w:szCs w:val="18"/>
          <w:rtl/>
        </w:rPr>
      </w:pPr>
      <w:r w:rsidRPr="00523A65">
        <w:rPr>
          <w:rFonts w:asciiTheme="majorBidi" w:hAnsiTheme="majorBidi" w:cs="AL-Hotham"/>
          <w:b/>
          <w:bCs/>
          <w:sz w:val="18"/>
          <w:szCs w:val="18"/>
          <w:rtl/>
        </w:rPr>
        <w:lastRenderedPageBreak/>
        <w:t>خلاصة</w:t>
      </w:r>
      <w:r w:rsidRPr="00523A65">
        <w:rPr>
          <w:rFonts w:asciiTheme="majorBidi" w:hAnsiTheme="majorBidi" w:cs="AL-Hotham" w:hint="cs"/>
          <w:b/>
          <w:bCs/>
          <w:sz w:val="18"/>
          <w:szCs w:val="18"/>
          <w:rtl/>
        </w:rPr>
        <w:t xml:space="preserve"> ـــ</w:t>
      </w:r>
      <w:r w:rsidRPr="00523A65">
        <w:rPr>
          <w:rFonts w:asciiTheme="majorBidi" w:hAnsiTheme="majorBidi" w:cs="AL-Hotham"/>
          <w:b/>
          <w:bCs/>
          <w:sz w:val="18"/>
          <w:szCs w:val="18"/>
          <w:rtl/>
        </w:rPr>
        <w:t xml:space="preserve"> هذا البحث يبحث في </w:t>
      </w:r>
      <w:r w:rsidRPr="00523A65">
        <w:rPr>
          <w:rFonts w:asciiTheme="majorBidi" w:eastAsia="Calibri" w:hAnsiTheme="majorBidi" w:cs="AL-Hotham"/>
          <w:b/>
          <w:bCs/>
          <w:sz w:val="18"/>
          <w:szCs w:val="18"/>
          <w:rtl/>
        </w:rPr>
        <w:t>مزايا المجاز المرسل</w:t>
      </w:r>
    </w:p>
    <w:p w:rsidR="00523A65" w:rsidRPr="00523A65" w:rsidRDefault="00523A65" w:rsidP="00523A65">
      <w:pPr>
        <w:spacing w:after="120" w:line="240" w:lineRule="auto"/>
        <w:jc w:val="lowKashida"/>
        <w:rPr>
          <w:rFonts w:asciiTheme="majorBidi" w:hAnsiTheme="majorBidi" w:cs="AL-Hotham"/>
          <w:b/>
          <w:bCs/>
          <w:sz w:val="18"/>
          <w:szCs w:val="18"/>
          <w:rtl/>
          <w:lang w:bidi="ar-EG"/>
        </w:rPr>
      </w:pPr>
      <w:r w:rsidRPr="00523A65">
        <w:rPr>
          <w:rFonts w:asciiTheme="majorBidi" w:hAnsiTheme="majorBidi" w:cs="AL-Hotham"/>
          <w:b/>
          <w:bCs/>
          <w:sz w:val="18"/>
          <w:szCs w:val="18"/>
          <w:rtl/>
        </w:rPr>
        <w:t>الكلمات المفتاحية</w:t>
      </w:r>
      <w:r w:rsidRPr="00523A65">
        <w:rPr>
          <w:rFonts w:asciiTheme="majorBidi" w:hAnsiTheme="majorBidi" w:cs="AL-Hotham" w:hint="cs"/>
          <w:b/>
          <w:bCs/>
          <w:sz w:val="18"/>
          <w:szCs w:val="18"/>
          <w:rtl/>
        </w:rPr>
        <w:t xml:space="preserve"> </w:t>
      </w:r>
      <w:r w:rsidRPr="00523A65">
        <w:rPr>
          <w:rFonts w:asciiTheme="majorBidi" w:hAnsiTheme="majorBidi" w:cs="AL-Hotham"/>
          <w:b/>
          <w:bCs/>
          <w:sz w:val="18"/>
          <w:szCs w:val="18"/>
          <w:rtl/>
        </w:rPr>
        <w:t>:</w:t>
      </w:r>
      <w:r w:rsidRPr="00523A65">
        <w:rPr>
          <w:rFonts w:cs="AL-Hotham" w:hint="cs"/>
          <w:b/>
          <w:bCs/>
          <w:sz w:val="18"/>
          <w:szCs w:val="18"/>
          <w:rtl/>
          <w:lang w:bidi="ar-EG"/>
        </w:rPr>
        <w:t xml:space="preserve"> الحقيقة</w:t>
      </w:r>
      <w:r w:rsidRPr="00523A65">
        <w:rPr>
          <w:rFonts w:asciiTheme="majorBidi" w:hAnsiTheme="majorBidi" w:cs="AL-Hotham" w:hint="cs"/>
          <w:b/>
          <w:bCs/>
          <w:sz w:val="18"/>
          <w:szCs w:val="18"/>
          <w:rtl/>
        </w:rPr>
        <w:t xml:space="preserve"> ،</w:t>
      </w:r>
      <w:r w:rsidRPr="00523A65">
        <w:rPr>
          <w:rFonts w:cs="AL-Hotham" w:hint="cs"/>
          <w:b/>
          <w:bCs/>
          <w:sz w:val="18"/>
          <w:szCs w:val="18"/>
          <w:rtl/>
          <w:lang w:bidi="ar-EG"/>
        </w:rPr>
        <w:t xml:space="preserve"> الغيث</w:t>
      </w:r>
      <w:r w:rsidRPr="00523A65">
        <w:rPr>
          <w:rFonts w:asciiTheme="majorBidi" w:hAnsiTheme="majorBidi" w:cs="AL-Hotham" w:hint="cs"/>
          <w:b/>
          <w:bCs/>
          <w:sz w:val="18"/>
          <w:szCs w:val="18"/>
          <w:rtl/>
        </w:rPr>
        <w:t xml:space="preserve"> ، </w:t>
      </w:r>
      <w:r w:rsidRPr="00523A65">
        <w:rPr>
          <w:rFonts w:cs="AL-Hotham" w:hint="cs"/>
          <w:b/>
          <w:bCs/>
          <w:sz w:val="18"/>
          <w:szCs w:val="18"/>
          <w:rtl/>
          <w:lang w:bidi="ar-EG"/>
        </w:rPr>
        <w:t>المسبب</w:t>
      </w:r>
    </w:p>
    <w:p w:rsidR="00523A65" w:rsidRPr="00523A65" w:rsidRDefault="00523A65" w:rsidP="00523A65">
      <w:pPr>
        <w:pStyle w:val="a4"/>
        <w:numPr>
          <w:ilvl w:val="0"/>
          <w:numId w:val="1"/>
        </w:numPr>
        <w:spacing w:after="120"/>
        <w:jc w:val="center"/>
        <w:rPr>
          <w:rFonts w:asciiTheme="majorBidi" w:hAnsiTheme="majorBidi" w:cs="AL-Hotham"/>
          <w:b/>
          <w:bCs/>
          <w:sz w:val="18"/>
          <w:szCs w:val="18"/>
          <w:rtl/>
        </w:rPr>
      </w:pPr>
      <w:r w:rsidRPr="00523A65">
        <w:rPr>
          <w:rFonts w:asciiTheme="majorBidi" w:hAnsiTheme="majorBidi" w:cs="AL-Hotham"/>
          <w:b/>
          <w:bCs/>
          <w:sz w:val="18"/>
          <w:szCs w:val="18"/>
          <w:rtl/>
        </w:rPr>
        <w:t>المقدمة</w:t>
      </w:r>
    </w:p>
    <w:p w:rsidR="00523A65" w:rsidRPr="00523A65" w:rsidRDefault="00523A65" w:rsidP="00523A65">
      <w:pPr>
        <w:pStyle w:val="a3"/>
        <w:bidi/>
        <w:spacing w:before="0" w:beforeAutospacing="0" w:after="120" w:afterAutospacing="0"/>
        <w:jc w:val="lowKashida"/>
        <w:rPr>
          <w:rFonts w:asciiTheme="majorBidi" w:hAnsiTheme="majorBidi" w:cs="AL-Hotham"/>
          <w:b/>
          <w:bCs/>
          <w:sz w:val="18"/>
          <w:szCs w:val="18"/>
          <w:rtl/>
        </w:rPr>
      </w:pPr>
      <w:r w:rsidRPr="00523A65">
        <w:rPr>
          <w:rFonts w:asciiTheme="majorBidi" w:hAnsiTheme="majorBidi" w:cs="AL-Hotham"/>
          <w:b/>
          <w:bCs/>
          <w:sz w:val="18"/>
          <w:szCs w:val="18"/>
          <w:rtl/>
        </w:rPr>
        <w:t xml:space="preserve"> الحمد لله، والصلاة والسلام على سيدنا رسول الله، وعلى آله وصحبه ومن والاه، سوف نتحدث في هذا المقال عن </w:t>
      </w:r>
      <w:r w:rsidRPr="00523A65">
        <w:rPr>
          <w:rFonts w:asciiTheme="majorBidi" w:eastAsia="Calibri" w:hAnsiTheme="majorBidi" w:cs="AL-Hotham"/>
          <w:b/>
          <w:bCs/>
          <w:sz w:val="18"/>
          <w:szCs w:val="18"/>
          <w:rtl/>
        </w:rPr>
        <w:t>مزايا المجاز المرسل</w:t>
      </w:r>
    </w:p>
    <w:p w:rsidR="00523A65" w:rsidRPr="00523A65" w:rsidRDefault="00523A65" w:rsidP="00523A65">
      <w:pPr>
        <w:pStyle w:val="a3"/>
        <w:numPr>
          <w:ilvl w:val="0"/>
          <w:numId w:val="1"/>
        </w:numPr>
        <w:bidi/>
        <w:spacing w:before="0" w:beforeAutospacing="0" w:after="120" w:afterAutospacing="0"/>
        <w:jc w:val="center"/>
        <w:rPr>
          <w:rFonts w:asciiTheme="majorBidi" w:hAnsiTheme="majorBidi" w:cs="AL-Hotham"/>
          <w:b/>
          <w:bCs/>
          <w:sz w:val="18"/>
          <w:szCs w:val="18"/>
          <w:rtl/>
        </w:rPr>
      </w:pPr>
      <w:r w:rsidRPr="00523A65">
        <w:rPr>
          <w:rFonts w:asciiTheme="majorBidi" w:hAnsiTheme="majorBidi" w:cs="AL-Hotham"/>
          <w:b/>
          <w:bCs/>
          <w:sz w:val="18"/>
          <w:szCs w:val="18"/>
          <w:rtl/>
        </w:rPr>
        <w:t>عنوان المقال</w:t>
      </w:r>
    </w:p>
    <w:p w:rsidR="00523A65" w:rsidRPr="00523A65" w:rsidRDefault="00523A65" w:rsidP="00523A65">
      <w:pPr>
        <w:spacing w:before="180" w:after="180" w:line="240" w:lineRule="auto"/>
        <w:jc w:val="lowKashida"/>
        <w:rPr>
          <w:rFonts w:cs="AL-Hotham"/>
          <w:b/>
          <w:bCs/>
          <w:color w:val="000080"/>
          <w:sz w:val="18"/>
          <w:szCs w:val="18"/>
          <w:rtl/>
          <w:lang w:bidi="ar-EG"/>
        </w:rPr>
      </w:pPr>
      <w:r w:rsidRPr="00523A65">
        <w:rPr>
          <w:rFonts w:cs="AL-Hotham" w:hint="cs"/>
          <w:b/>
          <w:bCs/>
          <w:color w:val="000080"/>
          <w:sz w:val="18"/>
          <w:szCs w:val="18"/>
          <w:rtl/>
          <w:lang w:bidi="ar-EG"/>
        </w:rPr>
        <w:t>ثالثًا: أنه يُفسح مجال التعبير أمام الأديب أو المتكلم:</w:t>
      </w:r>
    </w:p>
    <w:p w:rsidR="00523A65" w:rsidRPr="00523A65" w:rsidRDefault="00523A65" w:rsidP="00523A65">
      <w:pPr>
        <w:spacing w:line="240" w:lineRule="auto"/>
        <w:jc w:val="lowKashida"/>
        <w:rPr>
          <w:rFonts w:cs="AL-Hotham"/>
          <w:b/>
          <w:bCs/>
          <w:sz w:val="18"/>
          <w:szCs w:val="18"/>
        </w:rPr>
      </w:pPr>
      <w:r w:rsidRPr="00523A65">
        <w:rPr>
          <w:rFonts w:cs="AL-Hotham" w:hint="cs"/>
          <w:b/>
          <w:bCs/>
          <w:sz w:val="18"/>
          <w:szCs w:val="18"/>
          <w:rtl/>
          <w:lang w:bidi="ar-EG"/>
        </w:rPr>
        <w:t>فعن طريق المجاز يستطيع أن يتخيَّر الألفاظ الملائمة للقافية، أو الفاصلة، وأن يتجنب الألفاظ التي تخلُّ بفصاحة الكلام، فيترك الحقائق، ويستعمل المجازات حتى يسلم تعبيره مما يخل بفصاحته</w:t>
      </w:r>
      <w:r w:rsidRPr="00523A65">
        <w:rPr>
          <w:rFonts w:cs="AL-Hotham" w:hint="cs"/>
          <w:b/>
          <w:bCs/>
          <w:sz w:val="18"/>
          <w:szCs w:val="18"/>
          <w:rtl/>
        </w:rPr>
        <w:t xml:space="preserve">. </w:t>
      </w:r>
    </w:p>
    <w:p w:rsidR="00523A65" w:rsidRPr="00523A65" w:rsidRDefault="00523A65" w:rsidP="00523A65">
      <w:pPr>
        <w:spacing w:before="180" w:after="180" w:line="240" w:lineRule="auto"/>
        <w:jc w:val="lowKashida"/>
        <w:rPr>
          <w:rFonts w:cs="AL-Hotham"/>
          <w:b/>
          <w:bCs/>
          <w:color w:val="000080"/>
          <w:sz w:val="18"/>
          <w:szCs w:val="18"/>
          <w:rtl/>
          <w:lang w:bidi="ar-EG"/>
        </w:rPr>
      </w:pPr>
      <w:r w:rsidRPr="00523A65">
        <w:rPr>
          <w:rFonts w:cs="AL-Hotham" w:hint="cs"/>
          <w:b/>
          <w:bCs/>
          <w:color w:val="000080"/>
          <w:sz w:val="18"/>
          <w:szCs w:val="18"/>
          <w:rtl/>
          <w:lang w:bidi="ar-EG"/>
        </w:rPr>
        <w:t xml:space="preserve">رابعًا: أنه يعين المتكلم على تحقيق ما يهدف إليه من أغراض: </w:t>
      </w:r>
    </w:p>
    <w:p w:rsidR="00523A65" w:rsidRPr="00523A65" w:rsidRDefault="00523A65" w:rsidP="00523A65">
      <w:pPr>
        <w:spacing w:line="240" w:lineRule="auto"/>
        <w:jc w:val="lowKashida"/>
        <w:rPr>
          <w:rFonts w:cs="AL-Hotham"/>
          <w:b/>
          <w:bCs/>
          <w:sz w:val="18"/>
          <w:szCs w:val="18"/>
        </w:rPr>
      </w:pPr>
      <w:r w:rsidRPr="00523A65">
        <w:rPr>
          <w:rFonts w:cs="AL-Hotham" w:hint="cs"/>
          <w:b/>
          <w:bCs/>
          <w:sz w:val="18"/>
          <w:szCs w:val="18"/>
          <w:rtl/>
          <w:lang w:bidi="ar-EG"/>
        </w:rPr>
        <w:t>وذلك، كالتعظيم، والتحقير، والتهويل، وغير ذلك، كقولك: رأيت العالم، تقصد رأيت طالب العلم الذي سيصير عالمًا، فأنت بذلك تعظمه وترفع من شأنه، وكقولك: انظر إلى الجيفة كيف يترك الصلاة، وكيف ينام عنها، وكيف يطغى ويتكبر، تريد من سيموت فيصبح جيفة منتنة، فأنت بذلك تُحقره وتضع من شأنه، ومن ذلك قوله تعالى</w:t>
      </w:r>
      <w:r w:rsidRPr="00523A65">
        <w:rPr>
          <w:rFonts w:cs="AL-Hotham" w:hint="cs"/>
          <w:b/>
          <w:bCs/>
          <w:sz w:val="18"/>
          <w:szCs w:val="18"/>
          <w:rtl/>
        </w:rPr>
        <w:t xml:space="preserve">: </w:t>
      </w:r>
      <w:r w:rsidRPr="00523A65">
        <w:rPr>
          <w:rFonts w:cs="DecoType Thuluth" w:hint="cs"/>
          <w:b/>
          <w:bCs/>
          <w:color w:val="008000"/>
          <w:sz w:val="18"/>
          <w:szCs w:val="18"/>
          <w:rtl/>
        </w:rPr>
        <w:t>{</w:t>
      </w:r>
      <w:r w:rsidRPr="00523A65">
        <w:rPr>
          <w:rFonts w:ascii="QCF_P004" w:hAnsi="QCF_P004" w:cs="QCF_P004"/>
          <w:b/>
          <w:bCs/>
          <w:color w:val="008000"/>
          <w:sz w:val="18"/>
          <w:szCs w:val="18"/>
          <w:rtl/>
        </w:rPr>
        <w:t>ﭲ ﭳ ﭴ ﭵ ﭶ ﭷ ﭸ ﭹ</w:t>
      </w:r>
      <w:r w:rsidRPr="00523A65">
        <w:rPr>
          <w:rFonts w:cs="DecoType Thuluth" w:hint="cs"/>
          <w:b/>
          <w:bCs/>
          <w:color w:val="008000"/>
          <w:sz w:val="18"/>
          <w:szCs w:val="18"/>
          <w:rtl/>
        </w:rPr>
        <w:t>}</w:t>
      </w:r>
      <w:r w:rsidRPr="00523A65">
        <w:rPr>
          <w:rFonts w:cs="AL-Hotham" w:hint="cs"/>
          <w:b/>
          <w:bCs/>
          <w:sz w:val="18"/>
          <w:szCs w:val="18"/>
          <w:rtl/>
        </w:rPr>
        <w:t xml:space="preserve">. </w:t>
      </w:r>
      <w:r w:rsidRPr="00523A65">
        <w:rPr>
          <w:rFonts w:cs="AL-Hotham" w:hint="cs"/>
          <w:b/>
          <w:bCs/>
          <w:sz w:val="18"/>
          <w:szCs w:val="18"/>
          <w:rtl/>
          <w:lang w:bidi="ar-EG"/>
        </w:rPr>
        <w:t>فقد أفادت الآية، شدة الهول والرعب والخوف الذي انتابهم، والذي من أجله حاولوا إخفاء أسماعهم بأقصى ما يستطيعون</w:t>
      </w:r>
      <w:r w:rsidRPr="00523A65">
        <w:rPr>
          <w:rFonts w:cs="AL-Hotham" w:hint="cs"/>
          <w:b/>
          <w:bCs/>
          <w:sz w:val="18"/>
          <w:szCs w:val="18"/>
          <w:rtl/>
        </w:rPr>
        <w:t>.</w:t>
      </w:r>
    </w:p>
    <w:p w:rsidR="00523A65" w:rsidRPr="00523A65" w:rsidRDefault="00523A65" w:rsidP="00523A65">
      <w:pPr>
        <w:spacing w:before="180" w:after="180" w:line="240" w:lineRule="auto"/>
        <w:jc w:val="lowKashida"/>
        <w:rPr>
          <w:rFonts w:cs="AL-Hotham"/>
          <w:b/>
          <w:bCs/>
          <w:color w:val="000080"/>
          <w:sz w:val="18"/>
          <w:szCs w:val="18"/>
          <w:rtl/>
          <w:lang w:bidi="ar-EG"/>
        </w:rPr>
      </w:pPr>
      <w:r w:rsidRPr="00523A65">
        <w:rPr>
          <w:rFonts w:cs="AL-Hotham" w:hint="cs"/>
          <w:b/>
          <w:bCs/>
          <w:color w:val="000080"/>
          <w:sz w:val="18"/>
          <w:szCs w:val="18"/>
          <w:rtl/>
          <w:lang w:bidi="ar-EG"/>
        </w:rPr>
        <w:t xml:space="preserve">خامسًا: أنه لا يخلو من خيال يعرض للسامع: </w:t>
      </w:r>
    </w:p>
    <w:p w:rsidR="00523A65" w:rsidRPr="00523A65" w:rsidRDefault="00523A65" w:rsidP="00523A65">
      <w:pPr>
        <w:spacing w:line="240" w:lineRule="auto"/>
        <w:jc w:val="lowKashida"/>
        <w:rPr>
          <w:rFonts w:cs="AL-Hotham"/>
          <w:b/>
          <w:bCs/>
          <w:sz w:val="18"/>
          <w:szCs w:val="18"/>
          <w:rtl/>
          <w:lang w:bidi="ar-EG"/>
        </w:rPr>
      </w:pPr>
      <w:r w:rsidRPr="00523A65">
        <w:rPr>
          <w:rFonts w:cs="AL-Hotham" w:hint="cs"/>
          <w:b/>
          <w:bCs/>
          <w:sz w:val="18"/>
          <w:szCs w:val="18"/>
          <w:rtl/>
          <w:lang w:bidi="ar-EG"/>
        </w:rPr>
        <w:t xml:space="preserve">وذلك عندما تمر بذهنه المعاني الحقيقية للألفاظ، والتي سرعان ما تتلاشى أمام المعاني المجازية المقصودة، وهذا الخيال يحقق الجمال وإمتاع النفس التي ترى النبات والرزق بمختلف صنوفه يتدفق من السماء، وأسنمة الآبال يسعى بها السحاب، وهذا يأكل دمًا، ويمضغه بأسنان؛ فهذه كلها جاءت بها أشعار العرب، وذاك يأكل نارًا فتكوى بها أحشاؤه. </w:t>
      </w:r>
    </w:p>
    <w:p w:rsidR="00523A65" w:rsidRPr="00523A65" w:rsidRDefault="00523A65" w:rsidP="00523A65">
      <w:pPr>
        <w:pStyle w:val="a3"/>
        <w:bidi/>
        <w:spacing w:before="0" w:beforeAutospacing="0" w:after="120" w:afterAutospacing="0"/>
        <w:jc w:val="lowKashida"/>
        <w:rPr>
          <w:rFonts w:asciiTheme="majorBidi" w:hAnsiTheme="majorBidi" w:cs="AL-Hotham"/>
          <w:b/>
          <w:bCs/>
          <w:sz w:val="18"/>
          <w:szCs w:val="18"/>
          <w:rtl/>
        </w:rPr>
      </w:pPr>
      <w:r w:rsidRPr="00523A65">
        <w:rPr>
          <w:rFonts w:cs="AL-Hotham" w:hint="cs"/>
          <w:b/>
          <w:bCs/>
          <w:sz w:val="18"/>
          <w:szCs w:val="18"/>
          <w:rtl/>
          <w:lang w:bidi="ar-EG"/>
        </w:rPr>
        <w:t>وهذه الصور تخطر في النفس فور سماع جملها، وهي وإن كانت تزول سريعًا أمام المعنى المراد بنصب القرينة، إلا أنه بخطورها يتحقق إمتاع النفس، وإثارة الذهن، وتقع المعاني في النفس موقعها، إلى غير ذلك من الأغراض البلاغية، والأسرار واللطائف التي تكمن وراء أساليب المجاز المرسل</w:t>
      </w:r>
      <w:r w:rsidRPr="00523A65">
        <w:rPr>
          <w:rFonts w:cs="AL-Hotham" w:hint="cs"/>
          <w:b/>
          <w:bCs/>
          <w:sz w:val="18"/>
          <w:szCs w:val="18"/>
          <w:rtl/>
        </w:rPr>
        <w:t>.</w:t>
      </w:r>
    </w:p>
    <w:p w:rsidR="00523A65" w:rsidRPr="00523A65" w:rsidRDefault="00523A65" w:rsidP="00523A65">
      <w:pPr>
        <w:widowControl w:val="0"/>
        <w:autoSpaceDE w:val="0"/>
        <w:autoSpaceDN w:val="0"/>
        <w:adjustRightInd w:val="0"/>
        <w:spacing w:after="120" w:line="240" w:lineRule="auto"/>
        <w:jc w:val="center"/>
        <w:rPr>
          <w:rFonts w:asciiTheme="majorBidi" w:hAnsiTheme="majorBidi" w:cs="AL-Hotham"/>
          <w:b/>
          <w:bCs/>
          <w:sz w:val="18"/>
          <w:szCs w:val="18"/>
          <w:rtl/>
          <w:lang w:bidi="ar-IQ"/>
        </w:rPr>
      </w:pPr>
      <w:r w:rsidRPr="00523A65">
        <w:rPr>
          <w:rFonts w:asciiTheme="majorBidi" w:hAnsiTheme="majorBidi" w:cs="AL-Hotham" w:hint="cs"/>
          <w:b/>
          <w:bCs/>
          <w:sz w:val="18"/>
          <w:szCs w:val="18"/>
          <w:rtl/>
          <w:lang w:bidi="ar-IQ"/>
        </w:rPr>
        <w:lastRenderedPageBreak/>
        <w:t>المراجع والمصادر</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523A65">
        <w:rPr>
          <w:rFonts w:asciiTheme="majorBidi" w:hAnsiTheme="majorBidi" w:cs="AL-Hotham"/>
          <w:b/>
          <w:bCs/>
          <w:sz w:val="18"/>
          <w:szCs w:val="18"/>
          <w:rtl/>
          <w:lang w:bidi="ar-IQ"/>
        </w:rPr>
        <w:t>القزويني ، زكريا بن محمد القزويني تحقيق: محمد السعدي فرهود ، (الإيضاح في علوم البلاغة)  ، طبعة رقم1، سنة النشر: 2001 م</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523A65">
        <w:rPr>
          <w:rFonts w:asciiTheme="majorBidi" w:hAnsiTheme="majorBidi" w:cs="AL-Hotham"/>
          <w:b/>
          <w:bCs/>
          <w:sz w:val="18"/>
          <w:szCs w:val="18"/>
          <w:rtl/>
          <w:lang w:bidi="ar-IQ"/>
        </w:rPr>
        <w:t xml:space="preserve">الجرجاني، عبد القاهر الجرجاني، قرأه وعلق عليه محمود محمد شاكر،  (دلائل الاعجاز)  ، ط5، مكتبة الخانجي، 2004م.  </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523A65">
        <w:rPr>
          <w:rFonts w:asciiTheme="majorBidi" w:hAnsiTheme="majorBidi" w:cs="AL-Hotham"/>
          <w:b/>
          <w:bCs/>
          <w:sz w:val="18"/>
          <w:szCs w:val="18"/>
          <w:rtl/>
          <w:lang w:bidi="ar-IQ"/>
        </w:rPr>
        <w:t>أبو موسى، د. محمد محمد أبو موسى،   (دلالات التراكيب دراسة بلاغية) ، القاهرة، مكتبة وهبة للطباعة والنشر والتوزيع، 1987م</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523A65">
        <w:rPr>
          <w:rFonts w:asciiTheme="majorBidi" w:hAnsiTheme="majorBidi" w:cs="AL-Hotham"/>
          <w:b/>
          <w:bCs/>
          <w:sz w:val="18"/>
          <w:szCs w:val="18"/>
          <w:rtl/>
          <w:lang w:bidi="ar-IQ"/>
        </w:rPr>
        <w:t>المراغي، أحمد مصطفى المراغي،  (تاريخ علوم البلاغة و التعريف برجالها) ، القاهرة، مكتبة و مطبعة مصطفى البابي، ط1، 1950م</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523A65">
        <w:rPr>
          <w:rFonts w:asciiTheme="majorBidi" w:hAnsiTheme="majorBidi" w:cs="AL-Hotham"/>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523A65">
        <w:rPr>
          <w:rFonts w:asciiTheme="majorBidi" w:hAnsiTheme="majorBidi" w:cs="AL-Hotham"/>
          <w:b/>
          <w:bCs/>
          <w:sz w:val="18"/>
          <w:szCs w:val="18"/>
          <w:rtl/>
          <w:lang w:bidi="ar-IQ"/>
        </w:rPr>
        <w:t>الخوارزمي ، الشيخ يوسف بن أبي بكر بن محمد بن علي الخوارزمي الملقب بسراج الدين</w:t>
      </w:r>
      <w:r w:rsidRPr="00523A65">
        <w:rPr>
          <w:rFonts w:asciiTheme="majorBidi" w:hAnsiTheme="majorBidi" w:cs="AL-Hotham"/>
          <w:b/>
          <w:bCs/>
          <w:sz w:val="18"/>
          <w:szCs w:val="18"/>
          <w:lang w:bidi="ar-IQ"/>
        </w:rPr>
        <w:t xml:space="preserve"> </w:t>
      </w:r>
      <w:r w:rsidRPr="00523A65">
        <w:rPr>
          <w:rFonts w:asciiTheme="majorBidi" w:hAnsiTheme="majorBidi" w:cs="AL-Hotham"/>
          <w:b/>
          <w:bCs/>
          <w:sz w:val="18"/>
          <w:szCs w:val="18"/>
          <w:rtl/>
          <w:lang w:bidi="ar-IQ"/>
        </w:rPr>
        <w:t xml:space="preserve">السكاكي، (مفتاح العلوم)   ، لبنان، مكتبة المقهى، نشر دار الكتب العلمية، الطبعة الثانية ، 1987م </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523A65">
        <w:rPr>
          <w:rFonts w:asciiTheme="majorBidi" w:hAnsiTheme="majorBidi" w:cs="AL-Hotham"/>
          <w:b/>
          <w:bCs/>
          <w:sz w:val="18"/>
          <w:szCs w:val="18"/>
          <w:rtl/>
          <w:lang w:bidi="ar-IQ"/>
        </w:rPr>
        <w:t>الشاطئ، عائشة بنت الشاطئ،  (التفسير البياني) ، مكتبة المجلس، الطبعة الأولى، 1962م</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523A65">
        <w:rPr>
          <w:rFonts w:asciiTheme="majorBidi" w:hAnsiTheme="majorBidi" w:cs="AL-Hotham"/>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lang w:bidi="ar-IQ"/>
        </w:rPr>
      </w:pPr>
      <w:r w:rsidRPr="00523A65">
        <w:rPr>
          <w:rFonts w:asciiTheme="majorBidi" w:hAnsiTheme="majorBidi" w:cs="AL-Hotham"/>
          <w:b/>
          <w:bCs/>
          <w:sz w:val="18"/>
          <w:szCs w:val="18"/>
          <w:rtl/>
          <w:lang w:bidi="ar-IQ"/>
        </w:rPr>
        <w:t>الصعيدي، عبد المتعال الصعيدي،  (البغية على  الإيضاح لتلخيص المفتاح في علوم البلاغة) ،مكتبة الآداب،  1999م</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523A65">
        <w:rPr>
          <w:rFonts w:asciiTheme="majorBidi" w:hAnsiTheme="majorBidi" w:cs="AL-Hotham"/>
          <w:b/>
          <w:bCs/>
          <w:sz w:val="18"/>
          <w:szCs w:val="18"/>
          <w:rtl/>
          <w:lang w:bidi="ar-IQ"/>
        </w:rPr>
        <w:t>شاهين، كامل السيد شاهين،  (اللباب في العروض و القافية) ،القاهرة، الهيئة العامة لشئون الأميرية، 1978م</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523A65">
        <w:rPr>
          <w:rFonts w:asciiTheme="majorBidi" w:hAnsiTheme="majorBidi" w:cs="AL-Hotham"/>
          <w:b/>
          <w:bCs/>
          <w:sz w:val="18"/>
          <w:szCs w:val="18"/>
          <w:rtl/>
          <w:lang w:bidi="ar-IQ"/>
        </w:rPr>
        <w:t>القيرواني، ابن رشيق القيرواني،  (العمدة في محاسن الشعر وآدابه) ،الناشر: دار الكتب العلمية، 2001م</w:t>
      </w:r>
    </w:p>
    <w:p w:rsidR="00523A65" w:rsidRPr="00523A65" w:rsidRDefault="00523A65" w:rsidP="00523A65">
      <w:pPr>
        <w:widowControl w:val="0"/>
        <w:numPr>
          <w:ilvl w:val="0"/>
          <w:numId w:val="2"/>
        </w:numPr>
        <w:autoSpaceDE w:val="0"/>
        <w:autoSpaceDN w:val="0"/>
        <w:adjustRightInd w:val="0"/>
        <w:spacing w:after="120" w:line="240" w:lineRule="auto"/>
        <w:jc w:val="both"/>
        <w:rPr>
          <w:rFonts w:asciiTheme="majorBidi" w:hAnsiTheme="majorBidi" w:cs="AL-Hotham"/>
          <w:b/>
          <w:bCs/>
          <w:sz w:val="18"/>
          <w:szCs w:val="18"/>
          <w:rtl/>
          <w:lang w:bidi="ar-IQ"/>
        </w:rPr>
      </w:pPr>
      <w:r w:rsidRPr="00523A65">
        <w:rPr>
          <w:rFonts w:asciiTheme="majorBidi" w:hAnsiTheme="majorBidi" w:cs="AL-Hotham"/>
          <w:b/>
          <w:bCs/>
          <w:sz w:val="18"/>
          <w:szCs w:val="18"/>
          <w:rtl/>
          <w:lang w:bidi="ar-IQ"/>
        </w:rPr>
        <w:t>أبو موسى، د. محمد محمد أبو موسى،  (التصوير البياني) ،القاهرة، مكتبة وهبة للطباعة والنشر والتوزيع، 1997م</w:t>
      </w:r>
    </w:p>
    <w:p w:rsidR="00523A65" w:rsidRDefault="00523A65" w:rsidP="00523A65">
      <w:pPr>
        <w:rPr>
          <w:rFonts w:cs="AL-Hotham"/>
          <w:rtl/>
          <w:lang w:bidi="ar-IQ"/>
        </w:rPr>
        <w:sectPr w:rsidR="00523A65" w:rsidSect="00523A65">
          <w:type w:val="continuous"/>
          <w:pgSz w:w="11906" w:h="16838"/>
          <w:pgMar w:top="964" w:right="1021" w:bottom="964" w:left="1021" w:header="709" w:footer="709" w:gutter="0"/>
          <w:cols w:num="2" w:space="708"/>
          <w:bidi/>
          <w:rtlGutter/>
          <w:docGrid w:linePitch="360"/>
        </w:sectPr>
      </w:pPr>
    </w:p>
    <w:p w:rsidR="00523A65" w:rsidRPr="00E87483" w:rsidRDefault="00523A65" w:rsidP="00523A65">
      <w:pPr>
        <w:rPr>
          <w:rFonts w:cs="AL-Hotham"/>
          <w:rtl/>
          <w:lang w:bidi="ar-IQ"/>
        </w:rPr>
      </w:pPr>
    </w:p>
    <w:p w:rsidR="00523A65" w:rsidRPr="00E87483" w:rsidRDefault="00523A65" w:rsidP="00523A65">
      <w:pPr>
        <w:rPr>
          <w:rFonts w:cs="AL-Hotham"/>
          <w:rtl/>
          <w:lang w:bidi="ar-IQ"/>
        </w:rPr>
      </w:pPr>
    </w:p>
    <w:p w:rsidR="00523A65" w:rsidRDefault="00523A65" w:rsidP="00523A65">
      <w:pPr>
        <w:pStyle w:val="a3"/>
        <w:bidi/>
        <w:spacing w:before="0" w:beforeAutospacing="0" w:after="120" w:afterAutospacing="0" w:line="500" w:lineRule="exact"/>
        <w:jc w:val="lowKashida"/>
        <w:rPr>
          <w:rFonts w:asciiTheme="majorBidi" w:hAnsiTheme="majorBidi" w:cs="AL-Hotham"/>
          <w:sz w:val="32"/>
          <w:szCs w:val="32"/>
          <w:rtl/>
          <w:lang w:bidi="ar-IQ"/>
        </w:rPr>
      </w:pPr>
    </w:p>
    <w:p w:rsidR="00523A65" w:rsidRPr="00E87483" w:rsidRDefault="00523A65" w:rsidP="00523A65">
      <w:pPr>
        <w:spacing w:after="120" w:line="520" w:lineRule="exact"/>
        <w:jc w:val="lowKashida"/>
        <w:rPr>
          <w:rFonts w:asciiTheme="majorBidi" w:hAnsiTheme="majorBidi" w:cs="AL-Hotham"/>
          <w:sz w:val="32"/>
          <w:szCs w:val="32"/>
          <w:rtl/>
        </w:rPr>
      </w:pPr>
    </w:p>
    <w:p w:rsidR="00523A65" w:rsidRPr="00E87483" w:rsidRDefault="00523A65" w:rsidP="00523A65">
      <w:pPr>
        <w:spacing w:after="120" w:line="520" w:lineRule="exact"/>
        <w:jc w:val="lowKashida"/>
        <w:rPr>
          <w:rFonts w:asciiTheme="majorBidi" w:hAnsiTheme="majorBidi" w:cs="AL-Hotham"/>
          <w:sz w:val="32"/>
          <w:szCs w:val="32"/>
          <w:rtl/>
        </w:rPr>
      </w:pPr>
    </w:p>
    <w:p w:rsidR="00523A65" w:rsidRPr="00523A65" w:rsidRDefault="00523A65" w:rsidP="00523A65">
      <w:pPr>
        <w:rPr>
          <w:i/>
          <w:iCs/>
          <w:lang w:bidi="ar-EG"/>
        </w:rPr>
      </w:pPr>
    </w:p>
    <w:sectPr w:rsidR="00523A65" w:rsidRPr="00523A65" w:rsidSect="00523A65">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004">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4A2D9CA"/>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523A65"/>
    <w:rsid w:val="0014105E"/>
    <w:rsid w:val="00514443"/>
    <w:rsid w:val="00523A65"/>
    <w:rsid w:val="005F770F"/>
    <w:rsid w:val="00641D4E"/>
    <w:rsid w:val="009556CB"/>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23A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23A65"/>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2013-06-14T10:07:00Z</dcterms:created>
  <dcterms:modified xsi:type="dcterms:W3CDTF">2013-06-17T08:49:00Z</dcterms:modified>
</cp:coreProperties>
</file>