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57104E" w:rsidP="0057104E">
      <w:pPr>
        <w:spacing w:line="240" w:lineRule="auto"/>
        <w:jc w:val="center"/>
        <w:rPr>
          <w:i/>
          <w:iCs/>
          <w:rtl/>
        </w:rPr>
      </w:pPr>
      <w:r w:rsidRPr="0057104E">
        <w:rPr>
          <w:rFonts w:ascii="Calibri" w:eastAsia="Calibri" w:hAnsi="Calibri" w:cs="AL-Hotham" w:hint="cs"/>
          <w:i/>
          <w:iCs/>
          <w:sz w:val="48"/>
          <w:szCs w:val="48"/>
          <w:rtl/>
        </w:rPr>
        <w:t>نماذج للمقابلة الجيدة، وأثرها في الكلام</w:t>
      </w:r>
    </w:p>
    <w:p w:rsidR="0057104E" w:rsidRPr="00E87483" w:rsidRDefault="0057104E" w:rsidP="0057104E">
      <w:pPr>
        <w:spacing w:line="240" w:lineRule="auto"/>
        <w:jc w:val="center"/>
        <w:rPr>
          <w:rFonts w:asciiTheme="majorBidi" w:hAnsiTheme="majorBidi" w:cs="AL-Hotham"/>
          <w:i/>
          <w:iCs/>
          <w:sz w:val="28"/>
          <w:szCs w:val="28"/>
          <w:rtl/>
        </w:rPr>
      </w:pPr>
      <w:r w:rsidRPr="00E87483">
        <w:rPr>
          <w:rFonts w:asciiTheme="majorBidi" w:hAnsiTheme="majorBidi" w:cs="AL-Hotham"/>
          <w:i/>
          <w:iCs/>
          <w:sz w:val="28"/>
          <w:szCs w:val="28"/>
          <w:rtl/>
        </w:rPr>
        <w:t xml:space="preserve">بحث  فى </w:t>
      </w:r>
      <w:r w:rsidRPr="00E87483">
        <w:rPr>
          <w:rFonts w:asciiTheme="majorBidi" w:hAnsiTheme="majorBidi" w:cs="AL-Hotham" w:hint="cs"/>
          <w:i/>
          <w:iCs/>
          <w:sz w:val="28"/>
          <w:szCs w:val="28"/>
          <w:rtl/>
        </w:rPr>
        <w:t>دراسات بلاغيه</w:t>
      </w:r>
    </w:p>
    <w:p w:rsidR="0057104E" w:rsidRPr="00E87483" w:rsidRDefault="0057104E" w:rsidP="00B12081">
      <w:pPr>
        <w:spacing w:line="240" w:lineRule="auto"/>
        <w:jc w:val="center"/>
        <w:rPr>
          <w:rFonts w:asciiTheme="majorBidi" w:hAnsiTheme="majorBidi" w:cs="AL-Hotham"/>
        </w:rPr>
      </w:pPr>
      <w:r w:rsidRPr="00E87483">
        <w:rPr>
          <w:rFonts w:asciiTheme="majorBidi" w:hAnsiTheme="majorBidi" w:cs="AL-Hotham"/>
          <w:rtl/>
        </w:rPr>
        <w:t xml:space="preserve">إعداد أ/ </w:t>
      </w:r>
      <w:r w:rsidR="00B12081" w:rsidRPr="00B12081">
        <w:rPr>
          <w:rFonts w:asciiTheme="majorBidi" w:hAnsiTheme="majorBidi" w:cs="AL-Hotham"/>
          <w:rtl/>
          <w:lang w:bidi="ar-EG"/>
        </w:rPr>
        <w:t>عادل محمد فتحي</w:t>
      </w:r>
    </w:p>
    <w:p w:rsidR="0057104E" w:rsidRPr="00E87483" w:rsidRDefault="0057104E" w:rsidP="0057104E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قسم اللغة العربية</w:t>
      </w:r>
    </w:p>
    <w:p w:rsidR="0057104E" w:rsidRPr="00E87483" w:rsidRDefault="0057104E" w:rsidP="0057104E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كلية اللغات – جامعة المدينة العالمية</w:t>
      </w:r>
    </w:p>
    <w:p w:rsidR="0057104E" w:rsidRPr="00E87483" w:rsidRDefault="0057104E" w:rsidP="0057104E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  <w:rtl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شاه علم – ماليزيا</w:t>
      </w:r>
    </w:p>
    <w:p w:rsidR="0057104E" w:rsidRPr="00E87483" w:rsidRDefault="00B12081" w:rsidP="0057104E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B12081">
        <w:rPr>
          <w:rFonts w:asciiTheme="majorBidi" w:hAnsiTheme="majorBidi" w:cs="AL-Hotham"/>
          <w:i/>
          <w:iCs/>
          <w:sz w:val="20"/>
          <w:szCs w:val="20"/>
          <w:lang w:bidi="ar-EG"/>
        </w:rPr>
        <w:t>adel.mater@mediu.edu.my</w:t>
      </w:r>
    </w:p>
    <w:p w:rsidR="0057104E" w:rsidRDefault="0057104E" w:rsidP="0057104E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  <w:sectPr w:rsidR="0057104E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57104E" w:rsidRPr="0057104E" w:rsidRDefault="0057104E" w:rsidP="0057104E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lastRenderedPageBreak/>
        <w:t>خلاصة</w:t>
      </w:r>
      <w:r w:rsidRPr="0057104E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ـــ</w:t>
      </w: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t xml:space="preserve"> هذا البحث يبحث في </w:t>
      </w:r>
      <w:r w:rsidRPr="0057104E">
        <w:rPr>
          <w:rFonts w:ascii="Calibri" w:eastAsia="Calibri" w:hAnsi="Calibri" w:cs="AL-Hotham" w:hint="cs"/>
          <w:b/>
          <w:bCs/>
          <w:sz w:val="20"/>
          <w:szCs w:val="20"/>
          <w:rtl/>
        </w:rPr>
        <w:t>نماذج للمقابلة الجيدة، وأثرها في الكلام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t>الكلمات المفتاحية</w:t>
      </w:r>
      <w:r w:rsidRPr="0057104E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t>: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الأغراض</w:t>
      </w:r>
      <w:r w:rsidRPr="0057104E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 </w:t>
      </w:r>
      <w:r w:rsidRPr="0057104E">
        <w:rPr>
          <w:rFonts w:cs="AL-Hotham" w:hint="cs"/>
          <w:b/>
          <w:bCs/>
          <w:sz w:val="20"/>
          <w:szCs w:val="20"/>
          <w:rtl/>
        </w:rPr>
        <w:t>القرآن الكريم</w:t>
      </w:r>
      <w:r w:rsidRPr="0057104E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السامعين</w:t>
      </w:r>
    </w:p>
    <w:p w:rsidR="0057104E" w:rsidRPr="0057104E" w:rsidRDefault="0057104E" w:rsidP="0057104E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7104E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t>المقدمة</w:t>
      </w:r>
    </w:p>
    <w:p w:rsidR="0057104E" w:rsidRPr="0057104E" w:rsidRDefault="0057104E" w:rsidP="0057104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57104E">
        <w:rPr>
          <w:rFonts w:ascii="Calibri" w:eastAsia="Calibri" w:hAnsi="Calibri" w:cs="AL-Hotham" w:hint="cs"/>
          <w:b/>
          <w:bCs/>
          <w:sz w:val="20"/>
          <w:szCs w:val="20"/>
          <w:rtl/>
        </w:rPr>
        <w:t>نماذج للمقابلة الجيدة، وأثرها في الكلام</w:t>
      </w:r>
    </w:p>
    <w:p w:rsidR="0057104E" w:rsidRPr="0057104E" w:rsidRDefault="0057104E" w:rsidP="0057104E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</w:rPr>
        <w:t>عنوان المقال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ولعله من المناسب لإثبات ذلك، أن نعرض لبعض النماذج التي جاءت فيها المقابلة رائعة جيدة؛ لكون المعاني والأغراض هي التي استدعتها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ومن ثمَّ وقعت المعاني والأغراض موقعًا حسنًا في نفوس السامعين.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ومن جيد المقابلة في النفس: ما ورد منها، في القرآن الكريم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 xml:space="preserve">؛ </w:t>
      </w:r>
      <w:r w:rsidRPr="0057104E">
        <w:rPr>
          <w:rFonts w:cs="AL-Hotham" w:hint="cs"/>
          <w:b/>
          <w:bCs/>
          <w:sz w:val="20"/>
          <w:szCs w:val="20"/>
          <w:rtl/>
        </w:rPr>
        <w:t>حيث جاءت في أعلى درجات الإعجاز البلاغي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وقد مر بك بعض الأمثلة القرآنية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ومن الأمثلة القرآنية، قول الله تعالى: 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7104E">
        <w:rPr>
          <w:rFonts w:ascii="QCF_P144" w:hAnsi="QCF_P144" w:cs="QCF_P144"/>
          <w:b/>
          <w:bCs/>
          <w:color w:val="008000"/>
          <w:sz w:val="20"/>
          <w:szCs w:val="20"/>
          <w:rtl/>
        </w:rPr>
        <w:t>ﭑ ﭒ ﭓ ﭔ ﭕ ﭖ ﭗ ﭘ ﭙ ﭚ ﭛ ﭜ ﭝ ﭞ ﭟ ﭠ ﭡ ﭢ ﭣ ﭤ ﭥ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7104E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7104E">
        <w:rPr>
          <w:rFonts w:cs="AL-Hotham" w:hint="cs"/>
          <w:b/>
          <w:bCs/>
          <w:sz w:val="20"/>
          <w:szCs w:val="20"/>
          <w:rtl/>
        </w:rPr>
        <w:t>[الأنعام: 125]، وقد قابلت الآية بين الهداية وشرح الصدر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وبين الضلال وضيق الصدر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والآية تعزية وتسلية لرسول الله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لما يلاقيه من عناد الكفار وغرورهم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فهي إخبار من الله لرسوله ألَّا يهتم بأمرهم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ولا يحزن عليهم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فالأمر كله لله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فمن أراد الله هدايته للحق وتوفيقه للخير؛ فإنه يشرح للإسلام صدره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ويوسع بالقرآن قلبه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فعند ذلك يستنير الإسلام في قلبه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ويتسع له صدره.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وقد سئل رسول الله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عن شرح الصدر، فقال: 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>((هو نور يقذفه الله في قلب المؤمن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فينشرح له وينفسح، فقالوا: فهل لذلك من أمارة يُعرف بها؟ قال: الإنابة إلى دار الخلود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والتجافي عن دار الغرور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والاستعداد للموت قبل النزول))</w:t>
      </w:r>
      <w:r w:rsidRPr="0057104E">
        <w:rPr>
          <w:rFonts w:cs="AL-Hotham" w:hint="cs"/>
          <w:b/>
          <w:bCs/>
          <w:sz w:val="20"/>
          <w:szCs w:val="20"/>
          <w:rtl/>
        </w:rPr>
        <w:t>، أما من فسَدت فطرته وساءت نفسه إذا طُلب إليه أن ينظر في الدين ويدخل فيه، يجد في صدره ضيقًا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وذلك لما استحوذ عليه قلبه وامتلأ من سيئ التقاليد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والحسد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والعناد والكِبر والغرور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وهذا الصنف تكون إجابة الداعي عنده ثقيلة على نفسه جدًّا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ويشعر بضيق شديد وحرج كثير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كأنه كُلِّف من الأعمال ما لا يطيق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أو أمر بصعود السماء.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وواضح أن المقابلة، أدت حقها في تأدية هذا المعنى والوفاء به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وأبرزت كلا الفريقين وحالهم في الصورة التي أرادها الله لهما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مما يبعث الطمأنينة ويزيل الحزن في نفس الرسول الكريم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</w:rPr>
        <w:t>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ومن جيد المقابلة: ما جاء منها، في حديث الرسول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: 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>((تعسَ عبد الدينار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وعبد الدرهم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تعس عبد الحلة والخَميصة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إن أعطي رضي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وإن مُنع سخط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تعس فلا انتكس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وإذا شيك فلا انتقش))</w:t>
      </w:r>
      <w:r w:rsidRPr="0057104E">
        <w:rPr>
          <w:rFonts w:cs="AL-Hotham" w:hint="cs"/>
          <w:b/>
          <w:bCs/>
          <w:sz w:val="20"/>
          <w:szCs w:val="20"/>
          <w:rtl/>
        </w:rPr>
        <w:t>، فقد قابل في الحديث بين أعطى ورضي من جانب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وبين منع وسخط من جانب آخر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فجاءت المقابلة رائعة خلابة.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ومن جيد المقابلة: قول الإمام علي </w:t>
      </w:r>
      <w:r w:rsidRPr="0057104E">
        <w:rPr>
          <w:rFonts w:cs="SC_ALYERMOOK" w:hint="cs"/>
          <w:b/>
          <w:bCs/>
          <w:position w:val="-4"/>
          <w:sz w:val="20"/>
          <w:szCs w:val="20"/>
          <w:rtl/>
        </w:rPr>
        <w:t>&gt;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في خطابه لعثمان </w:t>
      </w:r>
      <w:r w:rsidRPr="0057104E">
        <w:rPr>
          <w:rFonts w:cs="SC_ALYERMOOK" w:hint="cs"/>
          <w:b/>
          <w:bCs/>
          <w:position w:val="-4"/>
          <w:sz w:val="20"/>
          <w:szCs w:val="20"/>
          <w:rtl/>
        </w:rPr>
        <w:t>&gt;</w:t>
      </w:r>
      <w:r w:rsidRPr="0057104E">
        <w:rPr>
          <w:rFonts w:cs="AL-Hotham" w:hint="cs"/>
          <w:b/>
          <w:bCs/>
          <w:sz w:val="20"/>
          <w:szCs w:val="20"/>
          <w:rtl/>
        </w:rPr>
        <w:t>: "إن الحق ثقيل مريء، والباطل خفيف وبيء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"،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فقابل الحق بالباطل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والثقيل المريء بالخفيف الوبيء.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lastRenderedPageBreak/>
        <w:t>وقال الحجاج بن يوسف، حين أراد قتل سعيد بن جبير لما أُحضر إليه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أمر مَن كبَّه على وجهه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ثم قال: مَن أنت؟ فقال: أنا سعيد بن جبير، فقال: بل أنت شقي بن كسير؟ فقابل سعيد بشقي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وجبير بكسير.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قال العلوي معلقًا على هذه المقابلة وجودتها: "كان الحجاج من المعدودين في الفصاحة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والمشار إليهم في البلاغة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مع شناعة ما فعل بأهل الإسلام في عصره".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ومن جيد المقابلة وألطفها، قول رجل لسيدنا معاوية </w:t>
      </w:r>
      <w:r w:rsidRPr="0057104E">
        <w:rPr>
          <w:rFonts w:cs="SC_ALYERMOOK" w:hint="cs"/>
          <w:b/>
          <w:bCs/>
          <w:position w:val="-4"/>
          <w:sz w:val="20"/>
          <w:szCs w:val="20"/>
          <w:rtl/>
        </w:rPr>
        <w:t>&gt;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يعزيه في وفاة بنت له: الحمد الله الذي أكرمها بوقوفك على قبرها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ولم يخزها بوقوفها على قبرك.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ومن ذلك قول الحسن </w:t>
      </w:r>
      <w:r w:rsidRPr="0057104E">
        <w:rPr>
          <w:rFonts w:cs="SC_ALYERMOOK" w:hint="cs"/>
          <w:b/>
          <w:bCs/>
          <w:position w:val="-4"/>
          <w:sz w:val="20"/>
          <w:szCs w:val="20"/>
          <w:rtl/>
        </w:rPr>
        <w:t>&gt;</w:t>
      </w:r>
      <w:r w:rsidRPr="0057104E">
        <w:rPr>
          <w:rFonts w:cs="AL-Hotham" w:hint="cs"/>
          <w:b/>
          <w:bCs/>
          <w:sz w:val="20"/>
          <w:szCs w:val="20"/>
          <w:rtl/>
        </w:rPr>
        <w:t>: "ما رأيت يقينًا لا شك فيه، أشبه بشك لا يقين فيه من الموت".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ومن كلام بعض البلغاء: مَن أقعدته نكاية اللئام، أقامته إعانة الكرام، من ألبسه الليل لون ظلمائه، نزعه النهار عنه بضيائه.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ومن الأشعار مما جاءت فيها المقابلات جيدة رائعة، قول أبي تمام: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5"/>
        <w:gridCol w:w="563"/>
        <w:gridCol w:w="2106"/>
      </w:tblGrid>
      <w:tr w:rsidR="0057104E" w:rsidRPr="0057104E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7104E">
              <w:rPr>
                <w:rFonts w:cs="AGA Furat Regular" w:hint="cs"/>
                <w:b/>
                <w:bCs/>
                <w:rtl/>
              </w:rPr>
              <w:t>قد ينعم الله بالبلوى وإن عظمت</w:t>
            </w:r>
            <w:r w:rsidRPr="0057104E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57104E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7104E">
              <w:rPr>
                <w:rFonts w:cs="AGA Furat Regular" w:hint="cs"/>
                <w:b/>
                <w:bCs/>
                <w:rtl/>
              </w:rPr>
              <w:t>ويبتلي الله بعض القوم بالنعم</w:t>
            </w:r>
            <w:r w:rsidRPr="0057104E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فقابل بين ينعم والبلوى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وبين يبتلى والنعم.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ومنه كذلك، قول الآخر: 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8"/>
        <w:gridCol w:w="561"/>
        <w:gridCol w:w="2115"/>
      </w:tblGrid>
      <w:tr w:rsidR="0057104E" w:rsidRPr="0057104E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7104E">
              <w:rPr>
                <w:rFonts w:cs="AGA Furat Regular" w:hint="cs"/>
                <w:b/>
                <w:bCs/>
                <w:rtl/>
              </w:rPr>
              <w:t>لعمرك ما الإنسان إلا ابن دينه</w:t>
            </w:r>
            <w:r w:rsidRPr="0057104E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57104E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7104E">
              <w:rPr>
                <w:rFonts w:cs="AGA Furat Regular" w:hint="cs"/>
                <w:b/>
                <w:bCs/>
                <w:rtl/>
              </w:rPr>
              <w:t>فلا تترك التقوى اتكالًا على النسب</w:t>
            </w:r>
            <w:r w:rsidRPr="0057104E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57104E" w:rsidRPr="0057104E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7104E">
              <w:rPr>
                <w:rFonts w:cs="AGA Furat Regular" w:hint="cs"/>
                <w:b/>
                <w:bCs/>
                <w:rtl/>
              </w:rPr>
              <w:t>فقد رفع الإسلام سلمان فارسًا</w:t>
            </w:r>
            <w:r w:rsidRPr="0057104E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57104E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7104E" w:rsidRPr="0057104E" w:rsidRDefault="0057104E" w:rsidP="0057104E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7104E">
              <w:rPr>
                <w:rFonts w:cs="AGA Furat Regular" w:hint="cs"/>
                <w:b/>
                <w:bCs/>
                <w:rtl/>
              </w:rPr>
              <w:t>وقد حُط بالشرك النسيب أبو لهب</w:t>
            </w:r>
            <w:r w:rsidRPr="0057104E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حيث قابل بين رفع والإسلام وسلمان الفارسي من جهة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وبين حُط والشرك وأبي لهب من جهة ثانية؛ فجاءت مقابلته جميلة رائعة.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ويجرنا هذا إلى الحديث عن بيان الفرق بين المطابقة والمقابلة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: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وكثير من البلاغيين يرون أن المقابلة نوع من 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وأنها داخلة فيه، والخطيب القزويني، يذكر هذا اللون بعد فراغه من الطباق وأقسامه، بقوله: "ودخلت المطابقة ما يخص باسم المقابلة"، وكذلك فعل غيره من المتأخرين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وحجتهم: أن هذا اللون قائم على الجمع بين معنيين متقابلين في الجملة، أي: على وجه مخصوص دون آخر؛ إذ ليس التقابل بين كل اثنين من المعاني مثلًا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فلا تقابل بين الضحك والقلة في قول الله تعالى: 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7104E">
        <w:rPr>
          <w:rFonts w:cs="AL-Hotham" w:hint="cs"/>
          <w:b/>
          <w:bCs/>
          <w:color w:val="008000"/>
          <w:sz w:val="20"/>
          <w:szCs w:val="20"/>
          <w:rtl/>
        </w:rPr>
        <w:t>فَلْيَضْحَكُوا قَلِيلًا وَلْيَبْكُوا كَثِيرًا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7104E">
        <w:rPr>
          <w:rFonts w:cs="AL-Hotham" w:hint="cs"/>
          <w:b/>
          <w:bCs/>
          <w:sz w:val="20"/>
          <w:szCs w:val="20"/>
          <w:rtl/>
        </w:rPr>
        <w:t>، حتى يكون طباقًا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ولا بين البكاء والكثرة في الآية، وإن كان فيه مقابلة بين الضحك والبكاء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والقلة والكثرة؛ فحيث كانت في المقابلة جمع بين معنيين متقابلين في الجملة؛ كان طباقًا لصدق تعريفه عليه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وإن عُدَّ من حيث التقابل بين العبارتين مقابلة.</w:t>
      </w:r>
    </w:p>
    <w:p w:rsidR="0057104E" w:rsidRPr="0057104E" w:rsidRDefault="0057104E" w:rsidP="0057104E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أما السكاكي، 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>فقد جعل المقابلة قسمًا قائمًا برأسه، من المحسنات المعنوية</w:t>
      </w:r>
      <w:r w:rsidRPr="0057104E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 xml:space="preserve"> وعرَّفها بقوله: أن تجمع بين شيئين متوافقين أو أكثر</w:t>
      </w:r>
      <w:r w:rsidRPr="0057104E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 xml:space="preserve"> وبين ضديهما</w:t>
      </w:r>
      <w:r w:rsidRPr="0057104E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 xml:space="preserve"> ثم إذا شرطت هنا شرطًا شرطت هناك ضدَّه، ومثَّل لها بقوله تعالى: </w:t>
      </w:r>
      <w:r w:rsidRPr="0057104E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57104E">
        <w:rPr>
          <w:rFonts w:ascii="QCF_P595" w:hAnsi="QCF_P595" w:cs="QCF_P595"/>
          <w:b/>
          <w:bCs/>
          <w:color w:val="008000"/>
          <w:spacing w:val="-4"/>
          <w:sz w:val="20"/>
          <w:szCs w:val="20"/>
          <w:rtl/>
        </w:rPr>
        <w:t xml:space="preserve"> ﮧ ﮨ ﮩ ﮪ ﮫ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 </w:t>
      </w:r>
      <w:r w:rsidRPr="0057104E">
        <w:rPr>
          <w:rFonts w:ascii="QCF_P595" w:hAnsi="QCF_P595" w:cs="QCF_P595"/>
          <w:b/>
          <w:bCs/>
          <w:color w:val="008000"/>
          <w:sz w:val="20"/>
          <w:szCs w:val="20"/>
          <w:rtl/>
        </w:rPr>
        <w:t>ﮬ ﮭ ﮮ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</w:t>
      </w:r>
      <w:r w:rsidRPr="0057104E">
        <w:rPr>
          <w:rFonts w:ascii="QCF_P595" w:hAnsi="QCF_P595" w:cs="QCF_P595"/>
          <w:b/>
          <w:bCs/>
          <w:color w:val="008000"/>
          <w:sz w:val="20"/>
          <w:szCs w:val="20"/>
          <w:rtl/>
        </w:rPr>
        <w:t>ﮯ ﮰ ﮱ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</w:t>
      </w:r>
      <w:r w:rsidRPr="0057104E">
        <w:rPr>
          <w:rFonts w:ascii="QCF_P595" w:hAnsi="QCF_P595" w:cs="QCF_P595"/>
          <w:b/>
          <w:bCs/>
          <w:color w:val="008000"/>
          <w:sz w:val="20"/>
          <w:szCs w:val="20"/>
          <w:rtl/>
        </w:rPr>
        <w:t>ﯓ ﯔ ﯕ ﯖ ﯗ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</w:t>
      </w:r>
      <w:r w:rsidRPr="0057104E">
        <w:rPr>
          <w:rFonts w:ascii="QCF_P595" w:hAnsi="QCF_P595" w:cs="QCF_P595"/>
          <w:b/>
          <w:bCs/>
          <w:color w:val="008000"/>
          <w:sz w:val="20"/>
          <w:szCs w:val="20"/>
          <w:rtl/>
        </w:rPr>
        <w:t>ﯘ ﯙ ﯚ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</w:t>
      </w:r>
      <w:r w:rsidRPr="0057104E">
        <w:rPr>
          <w:rFonts w:ascii="QCF_P595" w:hAnsi="QCF_P595" w:cs="QCF_P595"/>
          <w:b/>
          <w:bCs/>
          <w:color w:val="008000"/>
          <w:sz w:val="20"/>
          <w:szCs w:val="20"/>
          <w:rtl/>
        </w:rPr>
        <w:t>ﯛ ﯜ ﯝ</w:t>
      </w:r>
      <w:r w:rsidRPr="0057104E">
        <w:rPr>
          <w:rFonts w:cs="DecoType Thuluth" w:hint="cs"/>
          <w:b/>
          <w:bCs/>
          <w:color w:val="008000"/>
          <w:sz w:val="20"/>
          <w:szCs w:val="20"/>
          <w:rtl/>
        </w:rPr>
        <w:t xml:space="preserve"> }</w:t>
      </w:r>
      <w:r w:rsidRPr="0057104E">
        <w:rPr>
          <w:rFonts w:cs="AL-Hotham" w:hint="cs"/>
          <w:b/>
          <w:bCs/>
          <w:sz w:val="20"/>
          <w:szCs w:val="20"/>
          <w:rtl/>
        </w:rPr>
        <w:t>، وقد تبع السكاكسي، قومٌ منهم: العلامة عبد الحكيم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فقد رجح رأي السكاكي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وعلل هذا الصنيع </w:t>
      </w:r>
      <w:r w:rsidRPr="0057104E">
        <w:rPr>
          <w:rFonts w:cs="AL-Hotham" w:hint="cs"/>
          <w:b/>
          <w:bCs/>
          <w:sz w:val="20"/>
          <w:szCs w:val="20"/>
          <w:rtl/>
        </w:rPr>
        <w:lastRenderedPageBreak/>
        <w:t>بقوله: "لا يخفَى أن في الطباق حصولَ التوافق بعد التنافي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ولذا سُمي بالطباق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وفي المقابلة حصول التنافي بعد التوافق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ولذا سمي بالمقابلة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وفي كليهما إيراد المعنيين بصورة غريبة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وكل منهما محسن بانفراده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واستلزام أحدهما للآخر يقتضي دخوله فيه، فالحق مع السكاكي في جعله المقابلة قسمًا مستقلًّا من البديعيات المعنوية.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وذهب قوم من البلاغيين إلى أن المقابلة أعم من 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قال المطرزي: "المقابلة أعم من 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فإن المقابلة يدخل فيها، نحو: أن تبنوا الدنيا وغَيث الجود، فلم يعتبر التنافي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"،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وصاحب (بديع القرآن)، شرط في المقابلة: أن تكون بأكثر من اثنين من الأربعة إلى العشرة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وعلى هذا، فالمراد بالتوافق ليس التناسب؛ بل خلاف التقابل مطلقًا، سواء كانا متناسبين أو لا، ولا شك أن الطباق كله تقابل، كما سبق أن ذكرنا في التعريف.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فاسم التقابل صادق عليه إلَّا أنهم اصطلحوا على تسميه هذا النوع فقط تقابلًا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وهو ما كان الطباق فيه مكررًا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فإن قلتَ: إذا كان التقابل المراد أخص من 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والأخص لا يدخل في الأعم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بل أعم يدخل في الأخص، قلتُ: كثيرًا ما يقال عن الفرد، إنه داخل في الجنس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والمراد إعلام أنه فرد من أفراد الجنس غير خارج عنه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لم يريدوا دخول النوع بجميع أجزائه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بل دخول فيه من حصة الجنس.  انتهى من: (عروس الأفراح).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pacing w:val="-4"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وإذا نظرت إلى هذه الآراء وجدت أن الحق مع الخطيب ومَن تبعه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ذلك أن 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>المقابلة وإن اختصت باسم مستقل</w:t>
      </w:r>
      <w:r w:rsidRPr="0057104E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 xml:space="preserve"> وكان بينها وبين المطابقة فرق</w:t>
      </w:r>
      <w:r w:rsidRPr="0057104E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pacing w:val="-4"/>
          <w:sz w:val="20"/>
          <w:szCs w:val="20"/>
          <w:rtl/>
        </w:rPr>
        <w:t xml:space="preserve"> إلَّا أن هذا الفرق يتحدد في أن المطابقة، ويكون الجمع فيها بين لفظين مفردين، يعني: أن كل طرف من طرفي الطباق يكون مفردًا، بينما الجمع في المقابلة يكون بين أكثر من لفظين.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وليس هناك فرق بينهما على الأصح سوى هذا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فنحن إذ نتعرض للمقابلة على أنها لون من ألوان المحسنات البديعية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فلسنا بعيدين عن اللون السابق وهو 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بل ما زلنا في رحابه.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وللحديث عن أثر المقابلة في بلاغة الكلام، نقول: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إن ما سبق أن أشرنا إليه في الطباق من أن الجمع بين المتقابلين من الأمور المركوزة في الطباع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والتي لها تعلق ببلاغة الكلام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ولها أثر واضح في النفوس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وتتعلق بها أغراض المتكلمين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ما قلناه هناك يقال مثله هنا، فنحن ما زلنا مع الجمع بين المتقابلين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وعلة الحسن في الطباق، قائمة على الجمع بين الضدين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وهي نفس العلة التي تقوم عليها المقابلة.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 xml:space="preserve">ولكي نزيد الأمر وضوحًا في المقابلة، نضرب مثالًا بقول النبي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لأصحابه من الأنصار: 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>((إنكم لتكثرون عند الفزع</w:t>
      </w:r>
      <w:r w:rsidRPr="0057104E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color w:val="0000FF"/>
          <w:sz w:val="20"/>
          <w:szCs w:val="20"/>
          <w:rtl/>
        </w:rPr>
        <w:t xml:space="preserve"> وتقلُّون عند الطمع))،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فقد قابل الكثرة عن الفزع بالقلة عند الطمع، والغرض الشريف من هذا القول، هو أن يُثبِت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هوانَ الدنيا لدى أصحابه </w:t>
      </w:r>
      <w:r w:rsidRPr="0057104E">
        <w:rPr>
          <w:rFonts w:cs="SC_ALYERMOOK" w:hint="cs"/>
          <w:b/>
          <w:bCs/>
          <w:position w:val="-4"/>
          <w:sz w:val="20"/>
          <w:szCs w:val="20"/>
          <w:rtl/>
        </w:rPr>
        <w:t>}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وقلة مبالاتهم بتقديم أنفسهم فداءً لمبادئهم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وفي سبيل دينهم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وإرضاءً لربهم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وإذا كان شأن كل شيء الكثرة حينًا والقلة حينًا آخر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فإن كثرة هؤلاء تكون حيث تكون التضحية والبذل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وتقديم الأرواح؛ دفاعًا عن الحق ونصرته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وقلتهم تكون حيث يكون عَرَض الدنيا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ويكون المطمع في زخرفها.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فهذا التقابل، بين كثرتهم في مواقف الفزع، وقلتهم في مواقف الطمع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حقق للقول الشريف هذا الغرض الذي رمَى إليه الكلام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وأعطى الصورة الحقيقية لما عليه صحابة النبي الكريم </w:t>
      </w:r>
      <w:r w:rsidRPr="0057104E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ورضوان الله عليهم.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lastRenderedPageBreak/>
        <w:t>وهذا القدر كافٍ في إثبات الحسن الذاتي للمقابلة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وكذلك غيرها في كل الأساليب التي تشتمل على هذا اللون، كما في الطباق جمعٌ بين الشيء وضده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وهذا يضفي على الكلام بَهاءً وحسنًا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ويجعل لكل من المتقابلين حسنًا لا يكون له إذا جاء وحده. </w:t>
      </w:r>
    </w:p>
    <w:p w:rsidR="0057104E" w:rsidRPr="0057104E" w:rsidRDefault="0057104E" w:rsidP="0057104E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7104E">
        <w:rPr>
          <w:rFonts w:cs="AL-Hotham" w:hint="cs"/>
          <w:b/>
          <w:bCs/>
          <w:sz w:val="20"/>
          <w:szCs w:val="20"/>
          <w:rtl/>
        </w:rPr>
        <w:t>وبعد هذا التطواف حول هذا اللون من ألوان البديع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لنا أن نتساءل عن الفرق بين المقابلة، وبين كلٍّ من مراعاة النظير، والطباق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؟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وهل يشترط التناسب بين المعاني المتقابلة</w:t>
      </w:r>
      <w:r w:rsidRPr="0057104E">
        <w:rPr>
          <w:rFonts w:cs="AL-Hotham" w:hint="cs"/>
          <w:b/>
          <w:bCs/>
          <w:sz w:val="20"/>
          <w:szCs w:val="20"/>
          <w:rtl/>
          <w:lang w:bidi="ar-EG"/>
        </w:rPr>
        <w:t>؟</w:t>
      </w:r>
      <w:r w:rsidRPr="0057104E">
        <w:rPr>
          <w:rFonts w:cs="AL-Hotham" w:hint="cs"/>
          <w:b/>
          <w:bCs/>
          <w:sz w:val="20"/>
          <w:szCs w:val="20"/>
          <w:rtl/>
        </w:rPr>
        <w:t xml:space="preserve"> وما هو الأثر الذي يُحدثه هذا الصبغ البديعي في بلاغة الكلام؟</w:t>
      </w:r>
    </w:p>
    <w:p w:rsidR="0057104E" w:rsidRPr="0057104E" w:rsidRDefault="0057104E" w:rsidP="0057104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 w:hint="cs"/>
          <w:b/>
          <w:bCs/>
          <w:sz w:val="20"/>
          <w:szCs w:val="20"/>
          <w:rtl/>
          <w:lang w:bidi="ar-IQ"/>
        </w:rPr>
        <w:t>المراجع والمصادر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الخوارزمي ، الشيخ يوسف بن أبي بكر بن محمد بن علي الخوارزمي الملقب بسراج الدين</w:t>
      </w:r>
      <w:r w:rsidRPr="0057104E">
        <w:rPr>
          <w:rFonts w:asciiTheme="majorBidi" w:hAnsiTheme="majorBidi" w:cs="AL-Hotham"/>
          <w:b/>
          <w:bCs/>
          <w:sz w:val="20"/>
          <w:szCs w:val="20"/>
          <w:lang w:bidi="ar-IQ"/>
        </w:rPr>
        <w:t xml:space="preserve"> </w:t>
      </w: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57104E" w:rsidRPr="0057104E" w:rsidRDefault="0057104E" w:rsidP="0057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7104E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57104E" w:rsidRDefault="0057104E" w:rsidP="0057104E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  <w:sectPr w:rsidR="0057104E" w:rsidSect="0057104E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57104E" w:rsidRDefault="0057104E" w:rsidP="0057104E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</w:pPr>
    </w:p>
    <w:p w:rsidR="0057104E" w:rsidRPr="00E87483" w:rsidRDefault="0057104E" w:rsidP="0057104E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57104E" w:rsidRPr="00E87483" w:rsidRDefault="0057104E" w:rsidP="0057104E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  <w:lang w:bidi="ar-EG"/>
        </w:rPr>
      </w:pPr>
    </w:p>
    <w:p w:rsidR="0057104E" w:rsidRPr="0057104E" w:rsidRDefault="0057104E" w:rsidP="0057104E">
      <w:pPr>
        <w:rPr>
          <w:i/>
          <w:iCs/>
          <w:lang w:bidi="ar-EG"/>
        </w:rPr>
      </w:pPr>
    </w:p>
    <w:sectPr w:rsidR="0057104E" w:rsidRPr="0057104E" w:rsidSect="0057104E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4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ALYERMOOK">
    <w:charset w:val="B2"/>
    <w:family w:val="auto"/>
    <w:pitch w:val="variable"/>
    <w:sig w:usb0="00002001" w:usb1="00000000" w:usb2="00000000" w:usb3="00000000" w:csb0="00000040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QCF_P59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D4043094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104E"/>
    <w:rsid w:val="000C1118"/>
    <w:rsid w:val="003D4EC5"/>
    <w:rsid w:val="00514443"/>
    <w:rsid w:val="0057104E"/>
    <w:rsid w:val="00641D4E"/>
    <w:rsid w:val="009556CB"/>
    <w:rsid w:val="00B12081"/>
    <w:rsid w:val="00B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0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1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7104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2013-06-14T12:21:00Z</dcterms:created>
  <dcterms:modified xsi:type="dcterms:W3CDTF">2013-06-17T08:51:00Z</dcterms:modified>
</cp:coreProperties>
</file>