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24" w:rsidRDefault="00C70724" w:rsidP="00C70724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الإدغـام والإظهار في اللهجات العربية</w:t>
      </w:r>
    </w:p>
    <w:p w:rsidR="00C70724" w:rsidRDefault="00C70724" w:rsidP="00C70724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من خلال معجم المصباح المنير</w:t>
      </w:r>
    </w:p>
    <w:p w:rsidR="00C70724" w:rsidRDefault="00C70724" w:rsidP="00C70724">
      <w:pPr>
        <w:pStyle w:val="a5"/>
        <w:jc w:val="center"/>
        <w:rPr>
          <w:rFonts w:ascii="Arial" w:hAnsi="Arial" w:cs="Arial"/>
          <w:b/>
          <w:bCs/>
          <w:rtl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(</w:t>
      </w:r>
      <w:r>
        <w:rPr>
          <w:rFonts w:eastAsia="SimSun" w:hint="cs"/>
          <w:sz w:val="48"/>
          <w:szCs w:val="48"/>
          <w:rtl/>
          <w:lang w:eastAsia="en-US"/>
        </w:rPr>
        <w:t>4</w:t>
      </w:r>
      <w:r w:rsidRPr="00605164">
        <w:rPr>
          <w:rFonts w:eastAsia="SimSun" w:hint="cs"/>
          <w:sz w:val="48"/>
          <w:szCs w:val="48"/>
          <w:rtl/>
          <w:lang w:eastAsia="en-US"/>
        </w:rPr>
        <w:t>)</w:t>
      </w:r>
      <w:r w:rsidRPr="00605164">
        <w:rPr>
          <w:rFonts w:ascii="Arial" w:hAnsi="Arial" w:cs="Arial" w:hint="cs"/>
          <w:b/>
          <w:bCs/>
          <w:rtl/>
        </w:rPr>
        <w:t xml:space="preserve"> </w:t>
      </w:r>
    </w:p>
    <w:p w:rsidR="00C70724" w:rsidRPr="00970BDD" w:rsidRDefault="00C70724" w:rsidP="00C70724">
      <w:pPr>
        <w:pStyle w:val="a5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بحث في أصول اللغة</w:t>
      </w:r>
    </w:p>
    <w:p w:rsidR="00C70724" w:rsidRPr="00A71E2F" w:rsidRDefault="00C70724" w:rsidP="00C70724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>د. السيد عبد الحليم</w:t>
      </w:r>
    </w:p>
    <w:p w:rsidR="00C70724" w:rsidRPr="00A71E2F" w:rsidRDefault="00C70724" w:rsidP="00C70724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 قسم اللغة العربية </w:t>
      </w:r>
    </w:p>
    <w:p w:rsidR="00C70724" w:rsidRPr="00605164" w:rsidRDefault="00C70724" w:rsidP="00C70724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. كلية </w:t>
      </w:r>
      <w:r w:rsidRPr="00605164">
        <w:rPr>
          <w:rFonts w:hint="cs"/>
          <w:i/>
          <w:iCs/>
          <w:rtl/>
        </w:rPr>
        <w:t>اللغات . جامعة المدينة العالمية</w:t>
      </w:r>
    </w:p>
    <w:p w:rsidR="00C70724" w:rsidRPr="00605164" w:rsidRDefault="00C70724" w:rsidP="00C70724">
      <w:pPr>
        <w:pStyle w:val="Affiliation"/>
        <w:bidi/>
        <w:rPr>
          <w:i/>
          <w:iCs/>
          <w:rtl/>
        </w:rPr>
      </w:pPr>
      <w:r w:rsidRPr="00605164">
        <w:rPr>
          <w:rFonts w:hint="cs"/>
          <w:i/>
          <w:iCs/>
          <w:rtl/>
        </w:rPr>
        <w:t xml:space="preserve">شاه علم </w:t>
      </w:r>
      <w:r w:rsidRPr="00605164">
        <w:rPr>
          <w:i/>
          <w:iCs/>
          <w:rtl/>
        </w:rPr>
        <w:t>–</w:t>
      </w:r>
      <w:r w:rsidRPr="00605164">
        <w:rPr>
          <w:rFonts w:hint="cs"/>
          <w:i/>
          <w:iCs/>
          <w:rtl/>
        </w:rPr>
        <w:t xml:space="preserve"> ماليزيا</w:t>
      </w:r>
    </w:p>
    <w:p w:rsidR="00C70724" w:rsidRPr="00605164" w:rsidRDefault="00147554" w:rsidP="00C70724">
      <w:pPr>
        <w:pStyle w:val="Affiliation"/>
        <w:bidi/>
        <w:rPr>
          <w:i/>
          <w:iCs/>
          <w:rtl/>
        </w:rPr>
      </w:pPr>
      <w:hyperlink r:id="rId7" w:history="1">
        <w:r w:rsidR="00C70724" w:rsidRPr="00605164">
          <w:rPr>
            <w:i/>
            <w:iCs/>
          </w:rPr>
          <w:t>elsayed.abdelhalim@mediu.ws</w:t>
        </w:r>
      </w:hyperlink>
    </w:p>
    <w:p w:rsid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sectPr w:rsidR="00C70724" w:rsidSect="00F16E58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C70724" w:rsidRPr="0060516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C70724" w:rsidRPr="00925698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925698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خلاصة - هذا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البحث يبحث في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الإدغام والإظهار 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في اللهجات العربية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ومعالجة الفيومي صاحب المصباح المنير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لهذه الظاهرة اللغوية واللهجية التي كان لها أثر كبير في تعدد اللهجات قديما وحديثا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C70724" w:rsidRPr="001A6EB9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الكلمات المفتاحية :</w:t>
      </w:r>
    </w:p>
    <w:p w:rsidR="00C70724" w:rsidRPr="00666B7E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666B7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علم لغة – معاجم – المصباح المنير – الفيومي </w:t>
      </w:r>
    </w:p>
    <w:p w:rsidR="00C70724" w:rsidRPr="001A6EB9" w:rsidRDefault="00C70724" w:rsidP="00C70724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المقدمة</w:t>
      </w:r>
    </w:p>
    <w:p w:rsid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الإدغام والإظهار من الظواهر اللغوية التي لها أثرها في اختلاف اللهجات العربية قديما وحديثا ، بل كانت من السمات والظواهر التي ميزت لهجة عن أخرى ، لذلك كان لها أهميتها في الدرس اللغوي وتناولها علماء اللغة قديما وحديثا ، وسنبين تناول الفيومي لها وأثرها في اختلاف اللهجات من خلال معجمه المصباح المنير .</w:t>
      </w:r>
    </w:p>
    <w:p w:rsidR="00C70724" w:rsidRDefault="00C70724" w:rsidP="00730C4F">
      <w:pPr>
        <w:pStyle w:val="6"/>
        <w:jc w:val="center"/>
        <w:rPr>
          <w:rFonts w:ascii="Arial" w:hAnsi="Arial" w:cs="Arial"/>
          <w:rtl/>
        </w:rPr>
      </w:pPr>
      <w:r w:rsidRPr="001A6EB9">
        <w:rPr>
          <w:rFonts w:eastAsia="SimSun"/>
          <w:sz w:val="20"/>
          <w:szCs w:val="20"/>
          <w:rtl/>
          <w:lang w:eastAsia="zh-CN"/>
        </w:rPr>
        <w:t>- موضوع المقالة</w:t>
      </w:r>
    </w:p>
    <w:p w:rsidR="00DD1F71" w:rsidRPr="00C70724" w:rsidRDefault="00DD1F71" w:rsidP="00730C4F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رأي الفيومي في الإظهار والإدغام :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يقول الفيومي : ووجه القول المشهور ( يقصد الإظهار عند أهل الحجاز في املل ) أن الإظهار هو الأصل والإدغام عارض والأصل لا يعتد بالعارض فعند اللبس يرجع إلى الأصل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وسبق قوله عن لغة الحجاز في إظهار ( وتد ) بأنها الفصحى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والفيومي في هذا الرأي يوافق كثيرا من اللغويين .</w:t>
      </w:r>
    </w:p>
    <w:p w:rsidR="00DD1F71" w:rsidRPr="00C70724" w:rsidRDefault="00DD1F71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فالإدغام كما ذكرنا قسمان : واجب تستوي فيه اللغات ،  وجائز :  يختص به بعض دون بعض ،  ومن يتتبع مقارنة اللغويين بين  الإظهار والإدغام من حيث الفصاحة  يجد الإظهار عندهم آثر جدا بالفصاحة من الإدغام .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وما أكثر ما نرى سيبويه يردد عبارة  كهذه : "  والبيان فيها أحسن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" والبيان فيها أمثل "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"  والبيان عربي جيد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وهو يتكلم عن إدغام المقاربين والمتجانسين .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بل وضع معيارا لفصاحة الإظهار والإدغام  فقال :  فالإظهار في الحروف التي من مخرج واحد  وليست بأمثال سواء أحسن  لأنها قد اختلفت ،  وهو  في المختلفة المخارج أحسن لأنها أشد تباعدا  ، وكذلك الإظهار كلما تباعدت المخارج ازداد حسنا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والإدغام الكبير الذي تفرد به أبو عمرو أهمله جمع كبير من علماء القراءات في كتبهم لأنهم لا يستجيزون  منه إلا ما كان واجبا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وعللوا  كراهيته  بأنه  يلبس على الناس  وجه الإعراب وقد يوهم خلاف المقصود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وكان بعض القراء يكره الإدغام في الصلاة كحمزة الزيات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وأبو عمرو أكثر المدغمين إدغاما كان لا يدغم إلا إذا ترك الهمز فإن همز فمذهبه الإظهار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ومذهبه في الإدغام الكبير ليس هو المذهب الذي لا يقرأ إلا به بل وجه ،  وله وجه آخر هو الإظهار كسائر القراء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730C4F"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هذا ويرى بعض الباحثين أن الإدغام كان هو اللغة الرسمية السائدة التي تلقفها القرآن الكريم من لهجات العرب ولذلك ترددت ظاهرة الإدغام في كثرة غامرة من آيات الكتاب الحكيم لأنه -  على حد تعبيره -  ظاهرة راقية</w:t>
      </w:r>
      <w:r w:rsidR="00F04297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F04297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="00F04297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F04297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ثم يخلص إلى أن انتشار الإدغام في القرآن دليل على أن العربية الفصحى  كانت تهمل الإعراب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4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والحق أن القرآن الكريم أتى بالظاهرتين وقد جاءت آيات كثيرة بالإدغام  ، والفك واختلفت القراءات في الآيات كما جاء ذلك في بعض الأحاديث النبوية تبعا للهجات العربية فمن ذلك :</w:t>
      </w:r>
    </w:p>
    <w:p w:rsidR="00DD1F71" w:rsidRPr="00C70724" w:rsidRDefault="00DD1F71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قوله تعالى :  " </w:t>
      </w:r>
      <w:r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فَلَا يَغْرُرْكَ تَقَلُّبُهُمْ فِي الْبِلَادِ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" [ غافر : 4 ]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قرأ الجمهور بالفك وهى لغة أهل الحجاز ،  وقرأ زيد بن علىّ   و عبيد بن عمر "  فلا يغرّك  "  بالإدغام  مفتوح الراء وهى لغة تميم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5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وقوله تعالى  : " </w:t>
      </w:r>
      <w:r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يَا أَيُّهَا الَّذِينَ آمَنُواْ مَن يَرْتَدَّ مِنكُمْ عَن دِينِهِ فَسَوْفَ يَأْتِي اللّهُ بِقَوْمٍ يُحِبُّهُمْ وَيُحِبُّونَهُ 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" [ المائدة : 54 ]   قرأ نافع و ابن عامر ( من يرتدد )  بدالين مفكوكا وهى لغة الحجاز والباقون  بواحدة مشددة  وهى لغة تميم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6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ومن أمثلة الحديث النبوي : 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ما وقع في حديث لأبى ذر "  فلم أتقار أن قمت  "  بالإدغام أي  لم ألبث وأصله أتقارر  فأدغمت الراء في الراء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7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وحديث  " اللهم أشدد وطأتك على مضر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8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730C4F"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وكذلك "  فمن جاءك منا فأقصص عليه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9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بالفك 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وجاء بالإدغام في قوله  "  من رأى منكم رؤيا فليقصها أعبرها له "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0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وقال السيوطي : قال الشيخ جمال الدين بن مالك  :  أنزل الله القرآن بلغة الحجازيين إلا قليلا فإنه نزل بلغة التميميين  كالإدغام في " </w:t>
      </w:r>
      <w:r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ُ وَمَن يُشَاقِّ اللَّهَ 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.... " [ الحشر :4 ]  , وفى قوله :  "</w:t>
      </w:r>
      <w:r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يَا أَيُّهَا الَّذِينَ آمَنُواْ مَن يَرْتَدَّ مِنكُمْ 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"             [ المائدة </w:t>
      </w:r>
      <w:r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54]</w:t>
      </w:r>
      <w:r w:rsidR="00730C4F" w:rsidRPr="00730C4F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1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DD1F71" w:rsidRPr="00C70724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هذا والإدغام الجائز في القرآن ليس بالكثرة التي ظنها بعضهم فأكثر ما فيه منه من قبيل الإدغام الصغير</w:t>
      </w:r>
      <w:r w:rsidR="00AC7108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والإظهار هو السائد في القرآن وقراءاته وهو اللغة الفصحى التي يفضلها القراء واللغويون  , وكان ينبغي لمن ادعى أن الإدغام أفصح أن يميز بين ما تشترك فيه اللهجات مما تنفرد كل واحدة لآن المشترك هي فيه متساوية وإنما تتفاضل فيما اختلفت فيه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2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D1F71" w:rsidRDefault="00DD1F71" w:rsidP="00AC7108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هذا  وهذه الظاهرة تسمى عند علماء اللغة المحدثين المماثلة  وتدرس أحيانا تحت اسم التضعيف</w:t>
      </w:r>
      <w:r w:rsidR="003A5CEB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C70724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وهى تخضع لنظرية السهولة وكأن  الإدغام ظاهرة حادثة والفك هو الأصل 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3"/>
      </w:r>
      <w:r w:rsidR="00730C4F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730C4F" w:rsidRPr="00C7072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C70724" w:rsidRPr="009341DD" w:rsidRDefault="00C70724" w:rsidP="00C70724">
      <w:pPr>
        <w:jc w:val="center"/>
        <w:rPr>
          <w:b/>
          <w:bCs/>
          <w:lang w:bidi="ar-EG"/>
        </w:rPr>
      </w:pPr>
      <w:r w:rsidRPr="009341DD">
        <w:rPr>
          <w:rFonts w:hint="cs"/>
          <w:b/>
          <w:bCs/>
          <w:rtl/>
        </w:rPr>
        <w:t>المراجع :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إبراز المعاني من حرز الأماني . أبوشامة المقدسي ،  ط  : مصطفى البابي  الحلبي 1349 هـ .</w:t>
      </w:r>
    </w:p>
    <w:p w:rsidR="00C70724" w:rsidRPr="00A61B53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أخبار النحويين البصريين لأبي سعيد السيرافي . تحقيق طه الزيني ، ومحمد عبد المنعم خفاجي ، مصر 1955 م .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إتحاف فضلاء البشر في القراءات الأربعة عشر . أحمد بن محمد الدمياطي الشهير بالبناء . منشورات محمد علي بيضون  - دار الكتب العلمية بيروت ط أولى 1998 م .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أساس البلاغة . جار الله محمود بن عمر الزمخشري . تحقيق عبد الرحيم محمود . دار المعرفة . 1982 م . مطبعة دار الكتب 1972 م ط ثانية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إصلاح المنطق . يعقوب بن إسحاق بن السكيت . تحقيق أحمد محمد شاكر  وعبد السلام هارون  دار المعارف . ط الرابعة . مصر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الأصوات اللغوية  . إبراهيم أنيس . القاهرة : مكتبة الأنجلو المصرية  ط : 1995 م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أوضح المسالك إلى ألفية ابن مالك لأبي محمد عبد الله جمال الدين بن هشام الأنصاري ، تحقيق محيي الدين عبد الحميد . ط: 5 ، 1966 م . بيروت دار إحياء التراث العربي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إيضاح الوقف والابتداء في كتاب الله عز وجل، محمد بن القاسم بن الأنبا ر</w:t>
      </w:r>
      <w:r w:rsidRPr="00EF5FCC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ي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محيي الدين رمضان 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. دمشق : مجمع اللغة العربية، 1390 هـ .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البحر المحيط لأثير الدين أبي عبد الله  محمد بن يوسف بن حيان  الأندلسي الشهير بأبي حيان . مكتبة ومطابع النصر الحديثة . الرياض ، مطبعة السعادة ، ط: الأولى 1328 هـ .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تاريخ آداب العرب : لمصطفى صادق الرافعي  مكتبة الإيمان بالمنصورة . مصر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الطبري : المسمى : جامع البيان عن تأويل آي  القرآن . لأبي جعفر محمد بن جرير الطبري تحقيق محمود محمد شاكر . مصر دار المعارف ، وطبعة دار الفكر العربي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1405 هـ ط 2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:  أحمد عبد العليم البردوني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القرطبي لأبي عبد الله محمد بن أحمد الأنصاري القرطبي . دار الكتب المصرية ، 1386 هـ  ،  و طبعة دار الشعب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الثانية 1373 هـ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الحصيلة اللغوية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أهميتها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مصادرها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وسائل تنميتها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احمد محمد المعتوق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عالم المعرفة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الكويت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عدد أغسطس 1996 م . 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الخصائص لأبي الفتح عثمان بن جني تحقيق محمد علي النجار دار الكتب، والمكتبة التوفيقية  القاهرة تحقيق عبد الحكيم بن محمد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الدراسات الصوتية عند علماء العربية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الحميد الهادي الأصيبعي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منشورات كلية الدعوة الإسلامية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طرابلس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1410 هـ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1992 م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الدراسات الصوتية واللهجية عند ابن جني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حسام سعيد النعيمي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الرشيد للنشر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العراق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</w:t>
      </w:r>
    </w:p>
    <w:p w:rsidR="00C70724" w:rsidRPr="00EF5FCC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دراسات في علم اللغة العام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كمال محمد بشر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دار المعارف ط : 2 ، 1971 م .</w:t>
      </w:r>
    </w:p>
    <w:p w:rsidR="00C70724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دراسة الصوت اللغوي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مختار عمر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عالم الكتب ط : 1 ، 1369 هـ .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عصور الاحتجا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ج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النحو العربي الجزء الأول د / محمد إبراهيم عبادة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دار المعارف بمصر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 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فجر الإسلام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أمين  الهيئة المصرية العامة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مهرجان القراءة للجميع 1996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فصول في فقه العربية د/ رمضان عبد التواب  مكتبة الخانجي بالقاهرة 1980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في علم اللغة العام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عبد الصبور شاهين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الشباب1984م.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في اللهجات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إبراهيم أنيس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الأنجلو المصرية ط : التاسعة  1995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القراءات واللهجات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الوهاب حمودة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مكتبة النهضة المصرية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اللغة العربية بين الفصحى والعامية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خالد مفلح عيسى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الجماهيرية للنشر والتوزيع- ليبيا-  طبعة أولى 1987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لغة قريش -  مختار الغوث  دار المعراج الدولية للنشر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المملكة العربية السعودية  ط : الأولى  1418 هـ -  1997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اللهجات العربية  د/ إبراهيم نجا -  مطبعة السعادة  1973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العربية في التراث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أحمد علم الدين الجندي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العربية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-  1983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في الكتاب لسيبويه  أصواتا وبنية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صالحة راشد آل غنيم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طبع ونشر مركز البحث العلمي وإحياء التراث الإسلامي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جامعة أم القرى  -  مكة المكرمة  - ط : الأولى 1405 هـ - 1985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المدخل إلى دراسة النحو العربي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المجي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د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عابدين ، القاهرة ط : الأولى 1951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المصباح المنير لأحمد بن محمد الفيومي تحقيق : د/ عبد العظيم الشناوي -  دار المعارف  بمصر .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دراسة تحليلية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الكتاب الأول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السميع محمد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الفكر العربي الطبعة الثالثة 1979 م والرابعة 1984 م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مع اعتناء بمعجم العين للخليل بن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       عبد الله درويش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 -  القاهرة - بدون تاريخ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معجمات  العربية : النظرية و التطبيق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الحليم محمد عبد الحليم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الحسين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-  ط : 1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1989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البلدان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ياقوت الحموي بيروت  : دار صادر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1399هـ  ، ومطبعة السعادة  1906  مصر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 ( بحوث في المادة والمنهج والتطبيق )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رياض زكي قاسم  - دار المعرفة -  بيروت ط : 1987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: نشأته وتطوره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حسين نصار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مكتبة مصر .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قبائل العرب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عمر رضا كحالة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المطبعة الهاشمية بدمشق 1368 هـ .، وطبعة بيروت 1968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لغات القبائل والأمصار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جميل سعيد و داود سلوم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المجمع العلمي العراقي 1978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ما استعجم-  للبكري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لجنة التأليف والترجمة والنشر 1951 م 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.المعجم المفهرس لألفاظ الحديث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لفيف من المستشرقين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ليدن : مطبعة بريل 1955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الوسيط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مجمع اللغة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الثالثة 1985 م .</w:t>
      </w:r>
    </w:p>
    <w:p w:rsidR="00C70724" w:rsidRPr="009341DD" w:rsidRDefault="00C70724" w:rsidP="00C70724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المعرب من الكلام الأعجمي على حروف المعجم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الجواليقي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أحمد شاكر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الكتب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1361 هـ .</w:t>
      </w:r>
    </w:p>
    <w:p w:rsidR="00C70724" w:rsidRPr="00925698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C70724" w:rsidRPr="00561973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C70724" w:rsidRPr="003C1ED9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C70724" w:rsidRPr="007B735E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:rsidR="00C70724" w:rsidRPr="00C70724" w:rsidRDefault="00C70724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7D2E73" w:rsidRPr="00C70724" w:rsidRDefault="007D2E73" w:rsidP="00C70724">
      <w:pPr>
        <w:suppressAutoHyphens/>
        <w:spacing w:after="0" w:line="360" w:lineRule="auto"/>
        <w:jc w:val="lowKashida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sectPr w:rsidR="007D2E73" w:rsidRPr="00C70724" w:rsidSect="00730C4F">
      <w:type w:val="continuous"/>
      <w:pgSz w:w="11906" w:h="16838" w:code="9"/>
      <w:pgMar w:top="1440" w:right="1152" w:bottom="1440" w:left="1152" w:header="720" w:footer="720" w:gutter="0"/>
      <w:cols w:num="2"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74" w:rsidRDefault="00735F74" w:rsidP="00DD1F71">
      <w:pPr>
        <w:spacing w:after="0" w:line="240" w:lineRule="auto"/>
      </w:pPr>
      <w:r>
        <w:separator/>
      </w:r>
    </w:p>
  </w:endnote>
  <w:endnote w:type="continuationSeparator" w:id="1">
    <w:p w:rsidR="00735F74" w:rsidRDefault="00735F74" w:rsidP="00DD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74" w:rsidRDefault="00735F74" w:rsidP="00DD1F71">
      <w:pPr>
        <w:spacing w:after="0" w:line="240" w:lineRule="auto"/>
      </w:pPr>
      <w:r>
        <w:separator/>
      </w:r>
    </w:p>
  </w:footnote>
  <w:footnote w:type="continuationSeparator" w:id="1">
    <w:p w:rsidR="00735F74" w:rsidRDefault="00735F74" w:rsidP="00DD1F71">
      <w:pPr>
        <w:spacing w:after="0" w:line="240" w:lineRule="auto"/>
      </w:pPr>
      <w:r>
        <w:continuationSeparator/>
      </w:r>
    </w:p>
  </w:footnote>
  <w:footnote w:id="2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المصباح : (686 )</w:t>
      </w:r>
    </w:p>
  </w:footnote>
  <w:footnote w:id="3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المصباح  (646 )</w:t>
      </w:r>
    </w:p>
  </w:footnote>
  <w:footnote w:id="4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الكتاب (4/ 462 )</w:t>
      </w:r>
    </w:p>
  </w:footnote>
  <w:footnote w:id="5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السابق ( 4 / 462 )</w:t>
      </w:r>
    </w:p>
  </w:footnote>
  <w:footnote w:id="6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="00F04297" w:rsidRPr="00C70724">
        <w:rPr>
          <w:rFonts w:ascii="Tahoma" w:hAnsi="Tahoma" w:cs="Tahoma" w:hint="cs"/>
          <w:rtl/>
        </w:rPr>
        <w:t>السابق ( 4 / 466 )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7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الكتاب : ( 4 /  446 )</w:t>
      </w:r>
    </w:p>
  </w:footnote>
  <w:footnote w:id="8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النشر( 2/257 )  ،  إبراز المعاني ( 61 )</w:t>
      </w:r>
    </w:p>
  </w:footnote>
  <w:footnote w:id="9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إبراز المعاني (61 )</w:t>
      </w:r>
    </w:p>
  </w:footnote>
  <w:footnote w:id="10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الإتقان ( 1 / 126 )</w:t>
      </w:r>
    </w:p>
  </w:footnote>
  <w:footnote w:id="11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النشر ( 1 /276)</w:t>
      </w:r>
    </w:p>
  </w:footnote>
  <w:footnote w:id="12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النشر : ( 1 / 275 ) وما بعدها</w:t>
      </w:r>
    </w:p>
  </w:footnote>
  <w:footnote w:id="13">
    <w:p w:rsidR="00F04297" w:rsidRPr="00B5766C" w:rsidRDefault="00F04297" w:rsidP="00F04297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Pr="00C70724">
        <w:rPr>
          <w:rFonts w:ascii="Tahoma" w:hAnsi="Tahoma" w:cs="Tahoma" w:hint="cs"/>
          <w:rtl/>
        </w:rPr>
        <w:t>اللهجات العربية في التراث د/ أحمد علم الدين الجندي ( 1/313 - 314)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14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السابق :  ( 1/ 315 )</w:t>
      </w:r>
    </w:p>
  </w:footnote>
  <w:footnote w:id="15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ينظر البحر المحيط (7/ 449)</w:t>
      </w:r>
    </w:p>
  </w:footnote>
  <w:footnote w:id="16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ينظر الكتاب ( 2/ 417- 473)  ، والسبعة لابن مجاهد ( 245)- والبحر ( 3/511)</w:t>
      </w:r>
    </w:p>
  </w:footnote>
  <w:footnote w:id="17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النهاية في غريب الحديث ( 4/ 38)</w:t>
      </w:r>
    </w:p>
  </w:footnote>
  <w:footnote w:id="18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صحيح مسلم (1/467)</w:t>
      </w:r>
    </w:p>
  </w:footnote>
  <w:footnote w:id="19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صحيح مسلم (3/423)</w:t>
      </w:r>
    </w:p>
  </w:footnote>
  <w:footnote w:id="20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السابق ( 4/779 )</w:t>
      </w:r>
    </w:p>
  </w:footnote>
  <w:footnote w:id="21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الإتقان في علوم القرآن للسيوطى ( 1/ 136)</w:t>
      </w:r>
    </w:p>
  </w:footnote>
  <w:footnote w:id="22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="00F04297" w:rsidRPr="00C70724">
        <w:rPr>
          <w:rFonts w:ascii="Tahoma" w:hAnsi="Tahoma" w:cs="Tahoma" w:hint="cs"/>
          <w:rtl/>
        </w:rPr>
        <w:t>ينظر لغة قريش (85)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23">
    <w:p w:rsidR="00730C4F" w:rsidRPr="00B5766C" w:rsidRDefault="00730C4F" w:rsidP="00730C4F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="00F04297" w:rsidRPr="00C70724">
        <w:rPr>
          <w:rFonts w:ascii="Tahoma" w:hAnsi="Tahoma" w:cs="Tahoma" w:hint="cs"/>
          <w:rtl/>
        </w:rPr>
        <w:t>اللهجات العربية نشأة وتطورا (368</w:t>
      </w:r>
      <w:r w:rsidR="00F04297">
        <w:rPr>
          <w:rFonts w:cs="Simplified Arabic" w:hint="cs"/>
          <w:sz w:val="24"/>
          <w:szCs w:val="24"/>
          <w:rtl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0C3"/>
    <w:multiLevelType w:val="hybridMultilevel"/>
    <w:tmpl w:val="0B482E50"/>
    <w:lvl w:ilvl="0" w:tplc="9CD415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F71"/>
    <w:rsid w:val="00147554"/>
    <w:rsid w:val="003A5CEB"/>
    <w:rsid w:val="00730C4F"/>
    <w:rsid w:val="00735F74"/>
    <w:rsid w:val="007D2E73"/>
    <w:rsid w:val="00AC7108"/>
    <w:rsid w:val="00C70724"/>
    <w:rsid w:val="00DD1F71"/>
    <w:rsid w:val="00E07055"/>
    <w:rsid w:val="00F04297"/>
    <w:rsid w:val="00F1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58"/>
    <w:pPr>
      <w:bidi/>
    </w:pPr>
  </w:style>
  <w:style w:type="paragraph" w:styleId="6">
    <w:name w:val="heading 6"/>
    <w:basedOn w:val="a"/>
    <w:next w:val="a"/>
    <w:link w:val="6Char"/>
    <w:qFormat/>
    <w:rsid w:val="00DD1F71"/>
    <w:pPr>
      <w:keepNext/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DD1F7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3">
    <w:name w:val="footnote text"/>
    <w:basedOn w:val="a"/>
    <w:link w:val="Char"/>
    <w:semiHidden/>
    <w:rsid w:val="00DD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semiHidden/>
    <w:rsid w:val="00DD1F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semiHidden/>
    <w:rsid w:val="00DD1F71"/>
    <w:rPr>
      <w:vertAlign w:val="superscript"/>
    </w:rPr>
  </w:style>
  <w:style w:type="paragraph" w:styleId="a5">
    <w:name w:val="Body Text"/>
    <w:basedOn w:val="a"/>
    <w:link w:val="Char0"/>
    <w:semiHidden/>
    <w:rsid w:val="00C70724"/>
    <w:pPr>
      <w:spacing w:after="0" w:line="360" w:lineRule="auto"/>
      <w:jc w:val="lowKashida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basedOn w:val="a0"/>
    <w:link w:val="a5"/>
    <w:semiHidden/>
    <w:rsid w:val="00C70724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ffiliation">
    <w:name w:val="Affiliation"/>
    <w:rsid w:val="00C70724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C70724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0/me?tab=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6</cp:revision>
  <dcterms:created xsi:type="dcterms:W3CDTF">2013-06-01T06:59:00Z</dcterms:created>
  <dcterms:modified xsi:type="dcterms:W3CDTF">2013-06-01T08:37:00Z</dcterms:modified>
</cp:coreProperties>
</file>