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830" w:rsidRPr="00CA5612" w:rsidRDefault="00CA1830" w:rsidP="009E67DD">
      <w:pPr>
        <w:jc w:val="center"/>
        <w:rPr>
          <w:rFonts w:ascii="Times New Roman" w:eastAsia="Calibri" w:hAnsi="Times New Roman" w:cs="Times New Roman"/>
          <w:sz w:val="48"/>
          <w:szCs w:val="48"/>
          <w:rtl/>
          <w:lang w:bidi="ar-EG"/>
        </w:rPr>
      </w:pPr>
      <w:r>
        <w:rPr>
          <w:rFonts w:ascii="Times New Roman" w:eastAsia="Calibri" w:hAnsi="Times New Roman" w:cs="Times New Roman" w:hint="cs"/>
          <w:sz w:val="48"/>
          <w:szCs w:val="48"/>
          <w:rtl/>
          <w:lang w:bidi="ar-EG"/>
        </w:rPr>
        <w:t>تحقيق الجزء ال</w:t>
      </w:r>
      <w:r w:rsidR="009E67DD">
        <w:rPr>
          <w:rFonts w:ascii="Times New Roman" w:eastAsia="Calibri" w:hAnsi="Times New Roman" w:cs="Times New Roman" w:hint="cs"/>
          <w:sz w:val="48"/>
          <w:szCs w:val="48"/>
          <w:rtl/>
          <w:lang w:bidi="ar-EG"/>
        </w:rPr>
        <w:t>سابع</w:t>
      </w:r>
      <w:bookmarkStart w:id="0" w:name="_GoBack"/>
      <w:bookmarkEnd w:id="0"/>
      <w:r>
        <w:rPr>
          <w:rFonts w:ascii="Times New Roman" w:eastAsia="Calibri" w:hAnsi="Times New Roman" w:cs="Times New Roman" w:hint="cs"/>
          <w:sz w:val="48"/>
          <w:szCs w:val="48"/>
          <w:rtl/>
          <w:lang w:bidi="ar-EG"/>
        </w:rPr>
        <w:t xml:space="preserve"> من باب الإدغام من كتاب لطائف الإشارات ل</w:t>
      </w:r>
      <w:r w:rsidRPr="00CA5612">
        <w:rPr>
          <w:rFonts w:ascii="Times New Roman" w:eastAsia="Calibri" w:hAnsi="Times New Roman" w:cs="Times New Roman" w:hint="cs"/>
          <w:sz w:val="48"/>
          <w:szCs w:val="48"/>
          <w:rtl/>
          <w:lang w:bidi="ar-EG"/>
        </w:rPr>
        <w:t xml:space="preserve">لإمام </w:t>
      </w:r>
      <w:proofErr w:type="spellStart"/>
      <w:r w:rsidRPr="00CA5612">
        <w:rPr>
          <w:rFonts w:ascii="Times New Roman" w:eastAsia="Calibri" w:hAnsi="Times New Roman" w:cs="Times New Roman" w:hint="cs"/>
          <w:sz w:val="48"/>
          <w:szCs w:val="48"/>
          <w:rtl/>
          <w:lang w:bidi="ar-EG"/>
        </w:rPr>
        <w:t>القسطلاني</w:t>
      </w:r>
      <w:proofErr w:type="spellEnd"/>
    </w:p>
    <w:p w:rsidR="00CA1830" w:rsidRPr="00CA5612" w:rsidRDefault="00CA1830" w:rsidP="00CA1830">
      <w:pPr>
        <w:rPr>
          <w:rFonts w:ascii="Times New Roman" w:eastAsia="Calibri" w:hAnsi="Times New Roman" w:cs="Times New Roman"/>
          <w:sz w:val="48"/>
          <w:szCs w:val="48"/>
          <w:rtl/>
          <w:lang w:bidi="ar-EG"/>
        </w:rPr>
      </w:pPr>
    </w:p>
    <w:p w:rsidR="00CA1830" w:rsidRPr="00CA5612" w:rsidRDefault="00CA1830" w:rsidP="00CA1830">
      <w:pPr>
        <w:jc w:val="center"/>
        <w:rPr>
          <w:rFonts w:ascii="Times New Roman" w:eastAsia="Calibri" w:hAnsi="Times New Roman" w:cs="Times New Roman"/>
          <w:b/>
          <w:bCs/>
          <w:i/>
          <w:iCs/>
          <w:rtl/>
        </w:rPr>
      </w:pPr>
      <w:r w:rsidRPr="00CA5612">
        <w:rPr>
          <w:rFonts w:ascii="Times New Roman" w:eastAsia="Calibri" w:hAnsi="Times New Roman" w:cs="Times New Roman"/>
          <w:b/>
          <w:bCs/>
          <w:i/>
          <w:iCs/>
          <w:rtl/>
        </w:rPr>
        <w:t xml:space="preserve"> </w:t>
      </w:r>
      <w:r w:rsidRPr="00CA5612">
        <w:rPr>
          <w:rFonts w:ascii="Times New Roman" w:eastAsia="Calibri" w:hAnsi="Times New Roman" w:cs="Times New Roman" w:hint="cs"/>
          <w:b/>
          <w:bCs/>
          <w:i/>
          <w:iCs/>
          <w:rtl/>
        </w:rPr>
        <w:t>جمعة حمدي أحمد سالم</w:t>
      </w:r>
    </w:p>
    <w:p w:rsidR="00CA1830" w:rsidRPr="00CA5612" w:rsidRDefault="00CA1830" w:rsidP="00CA1830">
      <w:pPr>
        <w:jc w:val="center"/>
        <w:rPr>
          <w:rFonts w:ascii="Times New Roman" w:eastAsia="Calibri" w:hAnsi="Times New Roman" w:cs="Times New Roman"/>
          <w:b/>
          <w:bCs/>
          <w:i/>
          <w:iCs/>
          <w:sz w:val="20"/>
          <w:szCs w:val="20"/>
          <w:rtl/>
        </w:rPr>
      </w:pPr>
      <w:r w:rsidRPr="00CA5612">
        <w:rPr>
          <w:rFonts w:ascii="Times New Roman" w:eastAsia="Calibri" w:hAnsi="Times New Roman" w:cs="Times New Roman"/>
          <w:b/>
          <w:bCs/>
          <w:i/>
          <w:iCs/>
          <w:sz w:val="20"/>
          <w:szCs w:val="20"/>
          <w:rtl/>
        </w:rPr>
        <w:t>قسم القرآن وعلومه</w:t>
      </w:r>
    </w:p>
    <w:p w:rsidR="00CA1830" w:rsidRPr="00CA5612" w:rsidRDefault="00CA1830" w:rsidP="00CA1830">
      <w:pPr>
        <w:jc w:val="center"/>
        <w:rPr>
          <w:rFonts w:ascii="Times New Roman" w:eastAsia="Calibri" w:hAnsi="Times New Roman" w:cs="Times New Roman"/>
          <w:b/>
          <w:bCs/>
          <w:i/>
          <w:iCs/>
          <w:sz w:val="20"/>
          <w:szCs w:val="20"/>
          <w:rtl/>
        </w:rPr>
      </w:pPr>
      <w:r w:rsidRPr="00CA5612">
        <w:rPr>
          <w:rFonts w:ascii="Times New Roman" w:eastAsia="Calibri" w:hAnsi="Times New Roman" w:cs="Times New Roman"/>
          <w:b/>
          <w:bCs/>
          <w:i/>
          <w:iCs/>
          <w:sz w:val="20"/>
          <w:szCs w:val="20"/>
          <w:rtl/>
        </w:rPr>
        <w:t>كلية العلوم الاسلامية ـ جامعة المدينة العالمية</w:t>
      </w:r>
    </w:p>
    <w:p w:rsidR="00CA1830" w:rsidRPr="00CA5612" w:rsidRDefault="00CA1830" w:rsidP="00CA1830">
      <w:pPr>
        <w:jc w:val="center"/>
        <w:rPr>
          <w:rFonts w:ascii="Calibri" w:eastAsia="Calibri" w:hAnsi="Calibri" w:cs="Arial"/>
          <w:i/>
          <w:iCs/>
          <w:sz w:val="20"/>
          <w:szCs w:val="20"/>
          <w:rtl/>
        </w:rPr>
      </w:pPr>
    </w:p>
    <w:p w:rsidR="00CA1830" w:rsidRPr="00CA5612" w:rsidRDefault="00CA1830" w:rsidP="00CA1830">
      <w:pPr>
        <w:rPr>
          <w:rFonts w:ascii="Times New Roman" w:eastAsia="Calibri" w:hAnsi="Times New Roman" w:cs="Times New Roman"/>
          <w:b/>
          <w:bCs/>
          <w:i/>
          <w:iCs/>
          <w:sz w:val="18"/>
          <w:szCs w:val="18"/>
          <w:rtl/>
        </w:rPr>
        <w:sectPr w:rsidR="00CA1830" w:rsidRPr="00CA5612" w:rsidSect="00CA5612">
          <w:pgSz w:w="11906" w:h="16838"/>
          <w:pgMar w:top="1440" w:right="1800" w:bottom="1440" w:left="1800" w:header="708" w:footer="708" w:gutter="0"/>
          <w:cols w:space="708"/>
          <w:bidi/>
          <w:rtlGutter/>
          <w:docGrid w:linePitch="360"/>
        </w:sectPr>
      </w:pPr>
    </w:p>
    <w:p w:rsidR="00CA1830" w:rsidRPr="005F2B69" w:rsidRDefault="00CA1830" w:rsidP="00CA1830">
      <w:pPr>
        <w:rPr>
          <w:rFonts w:ascii="Cambria" w:eastAsia="Times New Roman" w:hAnsi="Cambria" w:cs="Times New Roman"/>
          <w:b/>
          <w:bCs/>
          <w:i/>
          <w:iCs/>
          <w:color w:val="365F91"/>
          <w:sz w:val="28"/>
          <w:szCs w:val="28"/>
          <w:rtl/>
        </w:rPr>
      </w:pPr>
      <w:r w:rsidRPr="005F2B69">
        <w:rPr>
          <w:rFonts w:ascii="Cambria" w:eastAsia="Times New Roman" w:hAnsi="Cambria" w:cs="Times New Roman"/>
          <w:b/>
          <w:bCs/>
          <w:i/>
          <w:iCs/>
          <w:color w:val="365F91"/>
          <w:sz w:val="28"/>
          <w:szCs w:val="28"/>
          <w:rtl/>
        </w:rPr>
        <w:lastRenderedPageBreak/>
        <w:t xml:space="preserve">خلاصة البحث </w:t>
      </w:r>
    </w:p>
    <w:p w:rsidR="00CA1830" w:rsidRDefault="00CA1830" w:rsidP="00CA1830">
      <w:pPr>
        <w:rPr>
          <w:rFonts w:ascii="Times New Roman" w:eastAsia="Calibri" w:hAnsi="Times New Roman" w:cs="Times New Roman"/>
          <w:b/>
          <w:bCs/>
          <w:i/>
          <w:iCs/>
          <w:sz w:val="18"/>
          <w:szCs w:val="18"/>
          <w:rtl/>
          <w:lang w:bidi="ar-EG"/>
        </w:rPr>
      </w:pPr>
      <w:r>
        <w:rPr>
          <w:rFonts w:ascii="Times New Roman" w:eastAsia="Calibri" w:hAnsi="Times New Roman" w:cs="Times New Roman" w:hint="cs"/>
          <w:b/>
          <w:bCs/>
          <w:i/>
          <w:iCs/>
          <w:sz w:val="18"/>
          <w:szCs w:val="18"/>
          <w:rtl/>
          <w:lang w:bidi="ar-EG"/>
        </w:rPr>
        <w:t>أبين منهج الشيخ في هذا الباب وأحقق هذا الجزء منه</w:t>
      </w:r>
    </w:p>
    <w:p w:rsidR="00CA1830" w:rsidRPr="00CA5612" w:rsidRDefault="00CA1830" w:rsidP="00CA1830">
      <w:pPr>
        <w:rPr>
          <w:rFonts w:ascii="Cambria" w:eastAsia="Times New Roman" w:hAnsi="Cambria" w:cs="Times New Roman"/>
          <w:b/>
          <w:bCs/>
          <w:i/>
          <w:iCs/>
          <w:color w:val="365F91"/>
          <w:sz w:val="28"/>
          <w:szCs w:val="28"/>
        </w:rPr>
      </w:pPr>
      <w:r w:rsidRPr="00CA5612">
        <w:rPr>
          <w:rFonts w:ascii="Cambria" w:eastAsia="Times New Roman" w:hAnsi="Cambria" w:cs="Times New Roman" w:hint="cs"/>
          <w:b/>
          <w:bCs/>
          <w:i/>
          <w:iCs/>
          <w:color w:val="365F91"/>
          <w:sz w:val="28"/>
          <w:szCs w:val="28"/>
          <w:rtl/>
        </w:rPr>
        <w:t>المقدمة</w:t>
      </w:r>
    </w:p>
    <w:p w:rsidR="00CA1830" w:rsidRPr="00CA5612" w:rsidRDefault="00CA1830" w:rsidP="00CA1830">
      <w:pPr>
        <w:ind w:left="360"/>
        <w:rPr>
          <w:rFonts w:ascii="Times New Roman" w:eastAsia="Calibri" w:hAnsi="Times New Roman" w:cs="Times New Roman"/>
          <w:sz w:val="20"/>
          <w:szCs w:val="20"/>
          <w:rtl/>
        </w:rPr>
      </w:pPr>
      <w:r w:rsidRPr="00CA5612">
        <w:rPr>
          <w:rFonts w:ascii="Times New Roman" w:eastAsia="Calibri" w:hAnsi="Times New Roman" w:cs="Times New Roman" w:hint="cs"/>
          <w:sz w:val="20"/>
          <w:szCs w:val="20"/>
          <w:rtl/>
        </w:rPr>
        <w:t xml:space="preserve">الحمد لله  وحده والصلاة والسلام على من لا نبي بعده وبعد </w:t>
      </w:r>
      <w:r w:rsidRPr="006346E5">
        <w:rPr>
          <w:rFonts w:ascii="Times New Roman" w:eastAsia="Calibri" w:hAnsi="Times New Roman" w:cs="Times New Roman" w:hint="cs"/>
          <w:sz w:val="20"/>
          <w:szCs w:val="20"/>
          <w:rtl/>
        </w:rPr>
        <w:t>أبين</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منهج</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الشيخ</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في</w:t>
      </w:r>
      <w:r w:rsidRPr="006346E5">
        <w:rPr>
          <w:rFonts w:ascii="Times New Roman" w:eastAsia="Calibri" w:hAnsi="Times New Roman" w:cs="Times New Roman"/>
          <w:sz w:val="20"/>
          <w:szCs w:val="20"/>
          <w:rtl/>
        </w:rPr>
        <w:t xml:space="preserve"> </w:t>
      </w:r>
      <w:r>
        <w:rPr>
          <w:rFonts w:ascii="Times New Roman" w:eastAsia="Calibri" w:hAnsi="Times New Roman" w:cs="Times New Roman" w:hint="cs"/>
          <w:sz w:val="20"/>
          <w:szCs w:val="20"/>
          <w:rtl/>
        </w:rPr>
        <w:t>كتابه هذا في جزء من باب الإدغام</w:t>
      </w:r>
    </w:p>
    <w:p w:rsidR="00CA1830" w:rsidRPr="00CA5612" w:rsidRDefault="00CA1830" w:rsidP="00CA1830">
      <w:pPr>
        <w:keepNext/>
        <w:keepLines/>
        <w:numPr>
          <w:ilvl w:val="0"/>
          <w:numId w:val="1"/>
        </w:numPr>
        <w:spacing w:before="480" w:after="0"/>
        <w:jc w:val="center"/>
        <w:outlineLvl w:val="0"/>
        <w:rPr>
          <w:rFonts w:ascii="Cambria" w:eastAsia="Times New Roman" w:hAnsi="Cambria" w:cs="Times New Roman"/>
          <w:b/>
          <w:bCs/>
          <w:color w:val="365F91"/>
          <w:sz w:val="28"/>
          <w:szCs w:val="28"/>
          <w:rtl/>
        </w:rPr>
      </w:pPr>
      <w:r w:rsidRPr="00CA5612">
        <w:rPr>
          <w:rFonts w:ascii="Cambria" w:eastAsia="Times New Roman" w:hAnsi="Cambria" w:cs="Times New Roman" w:hint="cs"/>
          <w:b/>
          <w:bCs/>
          <w:color w:val="365F91"/>
          <w:sz w:val="28"/>
          <w:szCs w:val="28"/>
          <w:rtl/>
        </w:rPr>
        <w:t>موضوع المقالة</w:t>
      </w:r>
    </w:p>
    <w:p w:rsidR="00CA1830" w:rsidRPr="00CA1830" w:rsidRDefault="00CA1830" w:rsidP="00CA1830">
      <w:pPr>
        <w:spacing w:after="120" w:line="264" w:lineRule="auto"/>
        <w:ind w:firstLine="720"/>
        <w:jc w:val="lowKashida"/>
        <w:rPr>
          <w:rFonts w:ascii="Times New Roman" w:eastAsia="Calibri" w:hAnsi="Times New Roman" w:cs="Times New Roman"/>
          <w:sz w:val="20"/>
          <w:szCs w:val="20"/>
          <w:rtl/>
        </w:rPr>
      </w:pPr>
      <w:r w:rsidRPr="00CA1830">
        <w:rPr>
          <w:rFonts w:ascii="Times New Roman" w:eastAsia="Calibri" w:hAnsi="Times New Roman" w:cs="Times New Roman" w:hint="cs"/>
          <w:sz w:val="20"/>
          <w:szCs w:val="20"/>
          <w:rtl/>
        </w:rPr>
        <w:t>فتعقبه الشيخ أبو القاسم النويري المالكي(</w:t>
      </w:r>
      <w:r w:rsidRPr="00CA1830">
        <w:rPr>
          <w:rFonts w:ascii="Times New Roman" w:eastAsia="Calibri" w:hAnsi="Times New Roman" w:cs="Times New Roman"/>
          <w:sz w:val="20"/>
          <w:szCs w:val="20"/>
          <w:rtl/>
        </w:rPr>
        <w:footnoteReference w:id="1"/>
      </w:r>
      <w:r w:rsidRPr="00CA1830">
        <w:rPr>
          <w:rFonts w:ascii="Times New Roman" w:eastAsia="Calibri" w:hAnsi="Times New Roman" w:cs="Times New Roman" w:hint="cs"/>
          <w:sz w:val="20"/>
          <w:szCs w:val="20"/>
          <w:rtl/>
        </w:rPr>
        <w:t>) بأن العمدة على قول القارئ قرأت بكذا لا على ما يفهم من كلامه فالمعتمد عليه هنا ما صرح به في أسانيده، ولا يترك ما نص عليه لما يفهم من الكلام سيما في هذا العلم الموقوف على الرواية وصريح النقل(</w:t>
      </w:r>
      <w:r w:rsidRPr="00CA1830">
        <w:rPr>
          <w:rFonts w:ascii="Times New Roman" w:eastAsia="Calibri" w:hAnsi="Times New Roman" w:cs="Times New Roman"/>
          <w:sz w:val="20"/>
          <w:szCs w:val="20"/>
          <w:rtl/>
        </w:rPr>
        <w:footnoteReference w:id="2"/>
      </w:r>
      <w:r w:rsidRPr="00CA1830">
        <w:rPr>
          <w:rFonts w:ascii="Times New Roman" w:eastAsia="Calibri" w:hAnsi="Times New Roman" w:cs="Times New Roman" w:hint="cs"/>
          <w:sz w:val="20"/>
          <w:szCs w:val="20"/>
          <w:rtl/>
        </w:rPr>
        <w:t>).</w:t>
      </w:r>
    </w:p>
    <w:p w:rsidR="00CA1830" w:rsidRPr="00782A33" w:rsidRDefault="00CA1830" w:rsidP="00CA1830">
      <w:pPr>
        <w:spacing w:after="120" w:line="264" w:lineRule="auto"/>
        <w:ind w:firstLine="720"/>
        <w:jc w:val="lowKashida"/>
        <w:rPr>
          <w:rFonts w:ascii="Times New Roman" w:eastAsia="Calibri" w:hAnsi="Times New Roman" w:cs="Times New Roman"/>
          <w:sz w:val="20"/>
          <w:szCs w:val="20"/>
        </w:rPr>
      </w:pPr>
      <w:r w:rsidRPr="00CA1830">
        <w:rPr>
          <w:rFonts w:ascii="Times New Roman" w:eastAsia="Calibri" w:hAnsi="Times New Roman" w:cs="Times New Roman" w:hint="cs"/>
          <w:sz w:val="20"/>
          <w:szCs w:val="20"/>
          <w:rtl/>
        </w:rPr>
        <w:lastRenderedPageBreak/>
        <w:t>قال(</w:t>
      </w:r>
      <w:r w:rsidRPr="00CA1830">
        <w:rPr>
          <w:rFonts w:ascii="Times New Roman" w:eastAsia="Calibri" w:hAnsi="Times New Roman" w:cs="Times New Roman"/>
          <w:sz w:val="20"/>
          <w:szCs w:val="20"/>
          <w:rtl/>
        </w:rPr>
        <w:footnoteReference w:id="3"/>
      </w:r>
      <w:r w:rsidRPr="00CA1830">
        <w:rPr>
          <w:rFonts w:ascii="Times New Roman" w:eastAsia="Calibri" w:hAnsi="Times New Roman" w:cs="Times New Roman" w:hint="cs"/>
          <w:sz w:val="20"/>
          <w:szCs w:val="20"/>
          <w:rtl/>
        </w:rPr>
        <w:t>): وكلام الشاطبي موافق لتصريح التيسير(</w:t>
      </w:r>
      <w:r w:rsidRPr="00CA1830">
        <w:rPr>
          <w:rFonts w:ascii="Times New Roman" w:eastAsia="Calibri" w:hAnsi="Times New Roman" w:cs="Times New Roman"/>
          <w:sz w:val="20"/>
          <w:szCs w:val="20"/>
          <w:rtl/>
        </w:rPr>
        <w:footnoteReference w:id="4"/>
      </w:r>
      <w:r w:rsidRPr="00CA1830">
        <w:rPr>
          <w:rFonts w:ascii="Times New Roman" w:eastAsia="Calibri" w:hAnsi="Times New Roman" w:cs="Times New Roman" w:hint="cs"/>
          <w:sz w:val="20"/>
          <w:szCs w:val="20"/>
          <w:rtl/>
        </w:rPr>
        <w:t xml:space="preserve">)وذلك أنه صرح بالإبدال </w:t>
      </w:r>
      <w:proofErr w:type="spellStart"/>
      <w:r w:rsidRPr="00CA1830">
        <w:rPr>
          <w:rFonts w:ascii="Times New Roman" w:eastAsia="Calibri" w:hAnsi="Times New Roman" w:cs="Times New Roman" w:hint="cs"/>
          <w:sz w:val="20"/>
          <w:szCs w:val="20"/>
          <w:rtl/>
        </w:rPr>
        <w:t>للسوسي</w:t>
      </w:r>
      <w:proofErr w:type="spellEnd"/>
      <w:r w:rsidRPr="00CA1830">
        <w:rPr>
          <w:rFonts w:ascii="Times New Roman" w:eastAsia="Calibri" w:hAnsi="Times New Roman" w:cs="Times New Roman" w:hint="cs"/>
          <w:sz w:val="20"/>
          <w:szCs w:val="20"/>
          <w:rtl/>
        </w:rPr>
        <w:t xml:space="preserve"> وبالتحقيق للدوري وبالإدغام [للراويين] (</w:t>
      </w:r>
      <w:r w:rsidRPr="00CA1830">
        <w:rPr>
          <w:rFonts w:ascii="Times New Roman" w:eastAsia="Calibri" w:hAnsi="Times New Roman" w:cs="Times New Roman"/>
          <w:sz w:val="20"/>
          <w:szCs w:val="20"/>
          <w:rtl/>
        </w:rPr>
        <w:footnoteReference w:id="5"/>
      </w:r>
      <w:r w:rsidRPr="00CA1830">
        <w:rPr>
          <w:rFonts w:ascii="Times New Roman" w:eastAsia="Calibri" w:hAnsi="Times New Roman" w:cs="Times New Roman" w:hint="cs"/>
          <w:sz w:val="20"/>
          <w:szCs w:val="20"/>
          <w:rtl/>
        </w:rPr>
        <w:t>) على سبيل الجواز لا الوجوب فلكل وجهان(</w:t>
      </w:r>
      <w:r w:rsidRPr="00CA1830">
        <w:rPr>
          <w:rFonts w:ascii="Times New Roman" w:eastAsia="Calibri" w:hAnsi="Times New Roman" w:cs="Times New Roman"/>
          <w:sz w:val="20"/>
          <w:szCs w:val="20"/>
          <w:rtl/>
        </w:rPr>
        <w:footnoteReference w:id="6"/>
      </w:r>
      <w:r w:rsidRPr="00CA1830">
        <w:rPr>
          <w:rFonts w:ascii="Times New Roman" w:eastAsia="Calibri" w:hAnsi="Times New Roman" w:cs="Times New Roman" w:hint="cs"/>
          <w:sz w:val="20"/>
          <w:szCs w:val="20"/>
          <w:rtl/>
        </w:rPr>
        <w:t xml:space="preserve">) فيصير </w:t>
      </w:r>
      <w:proofErr w:type="spellStart"/>
      <w:r w:rsidRPr="00CA1830">
        <w:rPr>
          <w:rFonts w:ascii="Times New Roman" w:eastAsia="Calibri" w:hAnsi="Times New Roman" w:cs="Times New Roman" w:hint="cs"/>
          <w:sz w:val="20"/>
          <w:szCs w:val="20"/>
          <w:rtl/>
        </w:rPr>
        <w:t>للسوسي</w:t>
      </w:r>
      <w:proofErr w:type="spellEnd"/>
      <w:r w:rsidRPr="00CA1830">
        <w:rPr>
          <w:rFonts w:ascii="Times New Roman" w:eastAsia="Calibri" w:hAnsi="Times New Roman" w:cs="Times New Roman" w:hint="cs"/>
          <w:sz w:val="20"/>
          <w:szCs w:val="20"/>
          <w:rtl/>
        </w:rPr>
        <w:t xml:space="preserve"> الإدغام والإظهار </w:t>
      </w:r>
      <w:r w:rsidRPr="00CA1830">
        <w:rPr>
          <w:rFonts w:ascii="Times New Roman" w:eastAsia="Calibri" w:hAnsi="Times New Roman" w:cs="Times New Roman" w:hint="cs"/>
          <w:sz w:val="20"/>
          <w:szCs w:val="20"/>
          <w:rtl/>
        </w:rPr>
        <w:lastRenderedPageBreak/>
        <w:t>مع الإبدال , وللدوري الإظهار مع التحقيق ويمتنع الإدغام مع التحقيق(</w:t>
      </w:r>
      <w:r w:rsidRPr="00CA1830">
        <w:rPr>
          <w:rFonts w:ascii="Times New Roman" w:eastAsia="Calibri" w:hAnsi="Times New Roman" w:cs="Times New Roman"/>
          <w:sz w:val="20"/>
          <w:szCs w:val="20"/>
          <w:rtl/>
        </w:rPr>
        <w:footnoteReference w:id="7"/>
      </w:r>
      <w:r w:rsidRPr="00CA1830">
        <w:rPr>
          <w:rFonts w:ascii="Times New Roman" w:eastAsia="Calibri" w:hAnsi="Times New Roman" w:cs="Times New Roman" w:hint="cs"/>
          <w:sz w:val="20"/>
          <w:szCs w:val="20"/>
          <w:rtl/>
        </w:rPr>
        <w:t>)(</w:t>
      </w:r>
      <w:r w:rsidRPr="00CA1830">
        <w:rPr>
          <w:rFonts w:ascii="Times New Roman" w:eastAsia="Calibri" w:hAnsi="Times New Roman" w:cs="Times New Roman"/>
          <w:sz w:val="20"/>
          <w:szCs w:val="20"/>
          <w:rtl/>
        </w:rPr>
        <w:footnoteReference w:id="8"/>
      </w:r>
      <w:r w:rsidRPr="00CA1830">
        <w:rPr>
          <w:rFonts w:ascii="Times New Roman" w:eastAsia="Calibri" w:hAnsi="Times New Roman" w:cs="Times New Roman" w:hint="cs"/>
          <w:sz w:val="20"/>
          <w:szCs w:val="20"/>
          <w:rtl/>
        </w:rPr>
        <w:t xml:space="preserve">) ، </w:t>
      </w:r>
      <w:proofErr w:type="spellStart"/>
      <w:r w:rsidRPr="00CA1830">
        <w:rPr>
          <w:rFonts w:ascii="Times New Roman" w:eastAsia="Calibri" w:hAnsi="Times New Roman" w:cs="Times New Roman" w:hint="cs"/>
          <w:sz w:val="20"/>
          <w:szCs w:val="20"/>
          <w:rtl/>
        </w:rPr>
        <w:t>كهو</w:t>
      </w:r>
      <w:proofErr w:type="spellEnd"/>
      <w:r w:rsidRPr="00CA1830">
        <w:rPr>
          <w:rFonts w:ascii="Times New Roman" w:eastAsia="Calibri" w:hAnsi="Times New Roman" w:cs="Times New Roman" w:hint="cs"/>
          <w:sz w:val="20"/>
          <w:szCs w:val="20"/>
          <w:rtl/>
        </w:rPr>
        <w:t xml:space="preserve"> مع مد المنفصل. قلت: ويوضح هذا ويبينه أن الداني قال في التيسير في إسناده قراءة أبي عمرو: ( فأما قراءة أبي عمرو فقرأت بها القرآن كله من طريق أبي عمر </w:t>
      </w:r>
      <w:r w:rsidRPr="00CA1830">
        <w:rPr>
          <w:rFonts w:ascii="Times New Roman" w:eastAsia="Calibri" w:hAnsi="Times New Roman" w:cs="Times New Roman"/>
          <w:sz w:val="20"/>
          <w:szCs w:val="20"/>
          <w:rtl/>
        </w:rPr>
        <w:t>–</w:t>
      </w:r>
      <w:r w:rsidRPr="00CA1830">
        <w:rPr>
          <w:rFonts w:ascii="Times New Roman" w:eastAsia="Calibri" w:hAnsi="Times New Roman" w:cs="Times New Roman" w:hint="cs"/>
          <w:sz w:val="20"/>
          <w:szCs w:val="20"/>
          <w:rtl/>
        </w:rPr>
        <w:t xml:space="preserve"> يعني الدوري </w:t>
      </w:r>
      <w:r w:rsidRPr="00CA1830">
        <w:rPr>
          <w:rFonts w:ascii="Times New Roman" w:eastAsia="Calibri" w:hAnsi="Times New Roman" w:cs="Times New Roman"/>
          <w:sz w:val="20"/>
          <w:szCs w:val="20"/>
          <w:rtl/>
        </w:rPr>
        <w:t>–</w:t>
      </w:r>
      <w:r w:rsidRPr="00CA1830">
        <w:rPr>
          <w:rFonts w:ascii="Times New Roman" w:eastAsia="Calibri" w:hAnsi="Times New Roman" w:cs="Times New Roman" w:hint="cs"/>
          <w:sz w:val="20"/>
          <w:szCs w:val="20"/>
          <w:rtl/>
        </w:rPr>
        <w:t xml:space="preserve"> على شيخه عبد العزيز بن جعفر(</w:t>
      </w:r>
      <w:r w:rsidRPr="00CA1830">
        <w:rPr>
          <w:rFonts w:ascii="Times New Roman" w:eastAsia="Calibri" w:hAnsi="Times New Roman" w:cs="Times New Roman"/>
          <w:sz w:val="20"/>
          <w:szCs w:val="20"/>
          <w:rtl/>
        </w:rPr>
        <w:footnoteReference w:id="9"/>
      </w:r>
      <w:r w:rsidRPr="00CA1830">
        <w:rPr>
          <w:rFonts w:ascii="Times New Roman" w:eastAsia="Calibri" w:hAnsi="Times New Roman" w:cs="Times New Roman" w:hint="cs"/>
          <w:sz w:val="20"/>
          <w:szCs w:val="20"/>
          <w:rtl/>
        </w:rPr>
        <w:t>)، وقال لي قرأت على أبي طاهر بن أبي هاشم المقرئ مالا أحصيه كثرة، وقال قرأت بها على ابن مجاهد، وقال: قرأت بها على أبي الزعراء، وقال قرأت على الدوري)(</w:t>
      </w:r>
      <w:r w:rsidRPr="00CA1830">
        <w:rPr>
          <w:rFonts w:ascii="Times New Roman" w:eastAsia="Calibri" w:hAnsi="Times New Roman" w:cs="Times New Roman"/>
          <w:sz w:val="20"/>
          <w:szCs w:val="20"/>
          <w:rtl/>
        </w:rPr>
        <w:footnoteReference w:id="10"/>
      </w:r>
      <w:r w:rsidRPr="00CA1830">
        <w:rPr>
          <w:rFonts w:ascii="Times New Roman" w:eastAsia="Calibri" w:hAnsi="Times New Roman" w:cs="Times New Roman" w:hint="cs"/>
          <w:sz w:val="20"/>
          <w:szCs w:val="20"/>
          <w:rtl/>
        </w:rPr>
        <w:t>).</w:t>
      </w:r>
    </w:p>
    <w:p w:rsidR="00CA1830" w:rsidRPr="00782A33" w:rsidRDefault="00CA1830" w:rsidP="00CA1830">
      <w:pPr>
        <w:spacing w:after="120" w:line="264" w:lineRule="auto"/>
        <w:ind w:firstLine="720"/>
        <w:jc w:val="lowKashida"/>
        <w:rPr>
          <w:rFonts w:ascii="Times New Roman" w:eastAsia="Calibri" w:hAnsi="Times New Roman" w:cs="Times New Roman"/>
          <w:sz w:val="20"/>
          <w:szCs w:val="20"/>
        </w:rPr>
      </w:pPr>
    </w:p>
    <w:p w:rsidR="00525568" w:rsidRPr="00CA1830" w:rsidRDefault="00525568" w:rsidP="00CA1830">
      <w:pPr>
        <w:spacing w:after="120" w:line="264" w:lineRule="auto"/>
        <w:ind w:firstLine="720"/>
        <w:jc w:val="lowKashida"/>
        <w:rPr>
          <w:rFonts w:ascii="Times New Roman" w:eastAsia="Calibri" w:hAnsi="Times New Roman" w:cs="Times New Roman"/>
          <w:sz w:val="20"/>
          <w:szCs w:val="20"/>
        </w:rPr>
      </w:pPr>
    </w:p>
    <w:sectPr w:rsidR="00525568" w:rsidRPr="00CA1830" w:rsidSect="00CA5612">
      <w:type w:val="continuous"/>
      <w:pgSz w:w="11906" w:h="16838"/>
      <w:pgMar w:top="1440" w:right="1800" w:bottom="1440" w:left="1800" w:header="708" w:footer="708" w:gutter="0"/>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6AC" w:rsidRDefault="009B16AC" w:rsidP="00CA1830">
      <w:pPr>
        <w:spacing w:after="0" w:line="240" w:lineRule="auto"/>
      </w:pPr>
      <w:r>
        <w:separator/>
      </w:r>
    </w:p>
  </w:endnote>
  <w:endnote w:type="continuationSeparator" w:id="0">
    <w:p w:rsidR="009B16AC" w:rsidRDefault="009B16AC" w:rsidP="00CA1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6AC" w:rsidRDefault="009B16AC" w:rsidP="00CA1830">
      <w:pPr>
        <w:spacing w:after="0" w:line="240" w:lineRule="auto"/>
      </w:pPr>
      <w:r>
        <w:separator/>
      </w:r>
    </w:p>
  </w:footnote>
  <w:footnote w:type="continuationSeparator" w:id="0">
    <w:p w:rsidR="009B16AC" w:rsidRDefault="009B16AC" w:rsidP="00CA1830">
      <w:pPr>
        <w:spacing w:after="0" w:line="240" w:lineRule="auto"/>
      </w:pPr>
      <w:r>
        <w:continuationSeparator/>
      </w:r>
    </w:p>
  </w:footnote>
  <w:footnote w:id="1">
    <w:p w:rsidR="00CA1830" w:rsidRPr="00CA1830" w:rsidRDefault="00CA1830" w:rsidP="00CA1830">
      <w:pPr>
        <w:spacing w:after="120" w:line="264" w:lineRule="auto"/>
        <w:ind w:firstLine="720"/>
        <w:jc w:val="lowKashida"/>
        <w:rPr>
          <w:rFonts w:ascii="Times New Roman" w:eastAsia="Calibri" w:hAnsi="Times New Roman" w:cs="Times New Roman"/>
          <w:sz w:val="20"/>
          <w:szCs w:val="20"/>
          <w:rtl/>
        </w:rPr>
      </w:pPr>
      <w:r w:rsidRPr="00E71438">
        <w:rPr>
          <w:rFonts w:cs="Traditional Arabic" w:hint="cs"/>
          <w:b/>
          <w:bCs/>
          <w:sz w:val="26"/>
          <w:szCs w:val="26"/>
          <w:rtl/>
        </w:rPr>
        <w:t>(</w:t>
      </w:r>
      <w:r w:rsidRPr="00E71438">
        <w:rPr>
          <w:rStyle w:val="a4"/>
          <w:rFonts w:cs="Traditional Arabic"/>
          <w:b/>
          <w:bCs/>
          <w:sz w:val="26"/>
          <w:szCs w:val="26"/>
        </w:rPr>
        <w:footnoteRef/>
      </w:r>
      <w:r w:rsidRPr="00E71438">
        <w:rPr>
          <w:rFonts w:cs="Traditional Arabic" w:hint="cs"/>
          <w:b/>
          <w:bCs/>
          <w:sz w:val="26"/>
          <w:szCs w:val="26"/>
          <w:rtl/>
        </w:rPr>
        <w:t xml:space="preserve">) </w:t>
      </w:r>
      <w:r w:rsidRPr="00CA1830">
        <w:rPr>
          <w:rFonts w:ascii="Times New Roman" w:eastAsia="Calibri" w:hAnsi="Times New Roman" w:cs="Times New Roman" w:hint="cs"/>
          <w:sz w:val="20"/>
          <w:szCs w:val="20"/>
          <w:rtl/>
        </w:rPr>
        <w:t xml:space="preserve">هو: محمد بن محمد بن محمد بن علي بن محمد بن إبراهيم بن عبد الخالق النويري، كنيته: أبو القاسم النويري. ولد سنة إحدى وثمانمائة. قرأ على : ابن الجزري، وشمس الدين </w:t>
      </w:r>
      <w:proofErr w:type="spellStart"/>
      <w:r w:rsidRPr="00CA1830">
        <w:rPr>
          <w:rFonts w:ascii="Times New Roman" w:eastAsia="Calibri" w:hAnsi="Times New Roman" w:cs="Times New Roman" w:hint="cs"/>
          <w:sz w:val="20"/>
          <w:szCs w:val="20"/>
          <w:rtl/>
        </w:rPr>
        <w:t>الزراتيتي</w:t>
      </w:r>
      <w:proofErr w:type="spellEnd"/>
      <w:r w:rsidRPr="00CA1830">
        <w:rPr>
          <w:rFonts w:ascii="Times New Roman" w:eastAsia="Calibri" w:hAnsi="Times New Roman" w:cs="Times New Roman" w:hint="cs"/>
          <w:sz w:val="20"/>
          <w:szCs w:val="20"/>
          <w:rtl/>
        </w:rPr>
        <w:t xml:space="preserve">، وأبي عبد الله </w:t>
      </w:r>
      <w:proofErr w:type="spellStart"/>
      <w:r w:rsidRPr="00CA1830">
        <w:rPr>
          <w:rFonts w:ascii="Times New Roman" w:eastAsia="Calibri" w:hAnsi="Times New Roman" w:cs="Times New Roman" w:hint="cs"/>
          <w:sz w:val="20"/>
          <w:szCs w:val="20"/>
          <w:rtl/>
        </w:rPr>
        <w:t>البساطي</w:t>
      </w:r>
      <w:proofErr w:type="spellEnd"/>
      <w:r w:rsidRPr="00CA1830">
        <w:rPr>
          <w:rFonts w:ascii="Times New Roman" w:eastAsia="Calibri" w:hAnsi="Times New Roman" w:cs="Times New Roman" w:hint="cs"/>
          <w:sz w:val="20"/>
          <w:szCs w:val="20"/>
          <w:rtl/>
        </w:rPr>
        <w:t xml:space="preserve">. مات بمكة يوم </w:t>
      </w:r>
      <w:proofErr w:type="spellStart"/>
      <w:r w:rsidRPr="00CA1830">
        <w:rPr>
          <w:rFonts w:ascii="Times New Roman" w:eastAsia="Calibri" w:hAnsi="Times New Roman" w:cs="Times New Roman" w:hint="cs"/>
          <w:sz w:val="20"/>
          <w:szCs w:val="20"/>
          <w:rtl/>
        </w:rPr>
        <w:t>الإثنين</w:t>
      </w:r>
      <w:proofErr w:type="spellEnd"/>
      <w:r w:rsidRPr="00CA1830">
        <w:rPr>
          <w:rFonts w:ascii="Times New Roman" w:eastAsia="Calibri" w:hAnsi="Times New Roman" w:cs="Times New Roman" w:hint="cs"/>
          <w:sz w:val="20"/>
          <w:szCs w:val="20"/>
          <w:rtl/>
        </w:rPr>
        <w:t xml:space="preserve"> رابع جمادي الأولى سنة سبع وخمسين وثمانمائة. [الأعلام 7/47 ـ الحلقات المضيئات 1/366].</w:t>
      </w:r>
    </w:p>
  </w:footnote>
  <w:footnote w:id="2">
    <w:p w:rsidR="00CA1830" w:rsidRPr="00CA1830" w:rsidRDefault="00CA1830" w:rsidP="00CA1830">
      <w:pPr>
        <w:spacing w:after="120" w:line="264" w:lineRule="auto"/>
        <w:ind w:firstLine="720"/>
        <w:jc w:val="lowKashida"/>
        <w:rPr>
          <w:rFonts w:ascii="Times New Roman" w:eastAsia="Calibri" w:hAnsi="Times New Roman" w:cs="Times New Roman"/>
          <w:sz w:val="20"/>
          <w:szCs w:val="20"/>
          <w:rtl/>
        </w:rPr>
      </w:pPr>
      <w:r w:rsidRPr="00CA1830">
        <w:rPr>
          <w:rFonts w:ascii="Times New Roman" w:eastAsia="Calibri" w:hAnsi="Times New Roman" w:cs="Times New Roman" w:hint="cs"/>
          <w:sz w:val="20"/>
          <w:szCs w:val="20"/>
          <w:rtl/>
        </w:rPr>
        <w:t>(</w:t>
      </w:r>
      <w:r w:rsidRPr="00CA1830">
        <w:rPr>
          <w:rFonts w:ascii="Times New Roman" w:eastAsia="Calibri" w:hAnsi="Times New Roman" w:cs="Times New Roman"/>
          <w:sz w:val="20"/>
          <w:szCs w:val="20"/>
        </w:rPr>
        <w:footnoteRef/>
      </w:r>
      <w:r w:rsidRPr="00CA1830">
        <w:rPr>
          <w:rFonts w:ascii="Times New Roman" w:eastAsia="Calibri" w:hAnsi="Times New Roman" w:cs="Times New Roman" w:hint="cs"/>
          <w:sz w:val="20"/>
          <w:szCs w:val="20"/>
          <w:rtl/>
        </w:rPr>
        <w:t>) نَصُّ كلام النويري تعقيباً على ما فهمه الجعبري من كلام الداني  : (( اعلم أن أبا عمرو... الخ من جواز الطرق الثلاث المتقدمة لأبي عمرو بكماله فغير متجه لأن العمدة على قول القارئ: قرأت بكذا لا على ما يفهم من كلامه والمعتمد عليه ما صرح به في أسانيده، ولا يجوز الاعتماد على هذا لأنه لم يقرأ به من طريقه، لا يترك ما نص عليه لما يفهم من الكلام لاسيما في هذا العلم الموقوف على الرواية وصريح النقل. ))- شرح طيبة النشر:2/71: 72.</w:t>
      </w:r>
    </w:p>
  </w:footnote>
  <w:footnote w:id="3">
    <w:p w:rsidR="00CA1830" w:rsidRPr="00CA1830" w:rsidRDefault="00CA1830" w:rsidP="00CA1830">
      <w:pPr>
        <w:spacing w:after="120" w:line="264" w:lineRule="auto"/>
        <w:ind w:firstLine="720"/>
        <w:jc w:val="lowKashida"/>
        <w:rPr>
          <w:rFonts w:ascii="Times New Roman" w:eastAsia="Calibri" w:hAnsi="Times New Roman" w:cs="Times New Roman"/>
          <w:sz w:val="20"/>
          <w:szCs w:val="20"/>
          <w:rtl/>
        </w:rPr>
      </w:pPr>
      <w:r w:rsidRPr="00CA1830">
        <w:rPr>
          <w:rFonts w:ascii="Times New Roman" w:eastAsia="Calibri" w:hAnsi="Times New Roman" w:cs="Times New Roman" w:hint="cs"/>
          <w:sz w:val="20"/>
          <w:szCs w:val="20"/>
          <w:rtl/>
        </w:rPr>
        <w:t>(</w:t>
      </w:r>
      <w:r w:rsidRPr="00CA1830">
        <w:rPr>
          <w:rFonts w:ascii="Times New Roman" w:eastAsia="Calibri" w:hAnsi="Times New Roman" w:cs="Times New Roman"/>
          <w:sz w:val="20"/>
          <w:szCs w:val="20"/>
        </w:rPr>
        <w:footnoteRef/>
      </w:r>
      <w:r w:rsidRPr="00CA1830">
        <w:rPr>
          <w:rFonts w:ascii="Times New Roman" w:eastAsia="Calibri" w:hAnsi="Times New Roman" w:cs="Times New Roman" w:hint="cs"/>
          <w:sz w:val="20"/>
          <w:szCs w:val="20"/>
          <w:rtl/>
        </w:rPr>
        <w:t>) القائل هو أبو القاسم النويري في شرح طيبة النشر2/72.</w:t>
      </w:r>
    </w:p>
  </w:footnote>
  <w:footnote w:id="4">
    <w:p w:rsidR="00CA1830" w:rsidRPr="00CA1830" w:rsidRDefault="00CA1830" w:rsidP="00CA1830">
      <w:pPr>
        <w:spacing w:after="120" w:line="264" w:lineRule="auto"/>
        <w:ind w:firstLine="720"/>
        <w:jc w:val="lowKashida"/>
        <w:rPr>
          <w:rFonts w:ascii="Times New Roman" w:eastAsia="Calibri" w:hAnsi="Times New Roman" w:cs="Times New Roman"/>
          <w:sz w:val="20"/>
          <w:szCs w:val="20"/>
          <w:rtl/>
        </w:rPr>
      </w:pPr>
      <w:r w:rsidRPr="00CA1830">
        <w:rPr>
          <w:rFonts w:ascii="Times New Roman" w:eastAsia="Calibri" w:hAnsi="Times New Roman" w:cs="Times New Roman" w:hint="cs"/>
          <w:sz w:val="20"/>
          <w:szCs w:val="20"/>
          <w:rtl/>
        </w:rPr>
        <w:t>(</w:t>
      </w:r>
      <w:r w:rsidRPr="00CA1830">
        <w:rPr>
          <w:rFonts w:ascii="Times New Roman" w:eastAsia="Calibri" w:hAnsi="Times New Roman" w:cs="Times New Roman"/>
          <w:sz w:val="20"/>
          <w:szCs w:val="20"/>
        </w:rPr>
        <w:footnoteRef/>
      </w:r>
      <w:r w:rsidRPr="00CA1830">
        <w:rPr>
          <w:rFonts w:ascii="Times New Roman" w:eastAsia="Calibri" w:hAnsi="Times New Roman" w:cs="Times New Roman" w:hint="cs"/>
          <w:sz w:val="20"/>
          <w:szCs w:val="20"/>
          <w:rtl/>
        </w:rPr>
        <w:t>) أراد قول الشاطبي في الحرز:</w:t>
      </w:r>
    </w:p>
    <w:p w:rsidR="00CA1830" w:rsidRPr="00CA1830" w:rsidRDefault="00CA1830" w:rsidP="00CA1830">
      <w:pPr>
        <w:spacing w:after="120" w:line="264" w:lineRule="auto"/>
        <w:ind w:firstLine="720"/>
        <w:jc w:val="lowKashida"/>
        <w:rPr>
          <w:rFonts w:ascii="Times New Roman" w:eastAsia="Calibri" w:hAnsi="Times New Roman" w:cs="Times New Roman"/>
          <w:sz w:val="20"/>
          <w:szCs w:val="20"/>
          <w:rtl/>
        </w:rPr>
      </w:pPr>
      <w:r w:rsidRPr="00CA1830">
        <w:rPr>
          <w:rFonts w:ascii="Times New Roman" w:eastAsia="Calibri" w:hAnsi="Times New Roman" w:cs="Times New Roman" w:hint="cs"/>
          <w:sz w:val="20"/>
          <w:szCs w:val="20"/>
          <w:rtl/>
        </w:rPr>
        <w:t xml:space="preserve">ويبدل </w:t>
      </w:r>
      <w:proofErr w:type="spellStart"/>
      <w:r w:rsidRPr="00CA1830">
        <w:rPr>
          <w:rFonts w:ascii="Times New Roman" w:eastAsia="Calibri" w:hAnsi="Times New Roman" w:cs="Times New Roman" w:hint="cs"/>
          <w:sz w:val="20"/>
          <w:szCs w:val="20"/>
          <w:rtl/>
        </w:rPr>
        <w:t>للسوسي</w:t>
      </w:r>
      <w:proofErr w:type="spellEnd"/>
      <w:r w:rsidRPr="00CA1830">
        <w:rPr>
          <w:rFonts w:ascii="Times New Roman" w:eastAsia="Calibri" w:hAnsi="Times New Roman" w:cs="Times New Roman" w:hint="cs"/>
          <w:sz w:val="20"/>
          <w:szCs w:val="20"/>
          <w:rtl/>
        </w:rPr>
        <w:t xml:space="preserve"> كل مسكن من الهمز   ***    مداً غير مجزوم أهملاً                  </w:t>
      </w:r>
    </w:p>
    <w:p w:rsidR="00CA1830" w:rsidRPr="00CA1830" w:rsidRDefault="00CA1830" w:rsidP="00CA1830">
      <w:pPr>
        <w:spacing w:after="120" w:line="264" w:lineRule="auto"/>
        <w:ind w:firstLine="720"/>
        <w:jc w:val="lowKashida"/>
        <w:rPr>
          <w:rFonts w:ascii="Times New Roman" w:eastAsia="Calibri" w:hAnsi="Times New Roman" w:cs="Times New Roman"/>
          <w:sz w:val="20"/>
          <w:szCs w:val="20"/>
          <w:rtl/>
        </w:rPr>
      </w:pPr>
      <w:r w:rsidRPr="00CA1830">
        <w:rPr>
          <w:rFonts w:ascii="Times New Roman" w:eastAsia="Calibri" w:hAnsi="Times New Roman" w:cs="Times New Roman" w:hint="cs"/>
          <w:sz w:val="20"/>
          <w:szCs w:val="20"/>
          <w:rtl/>
        </w:rPr>
        <w:t>[الحرز بيت رقم : 216 ]</w:t>
      </w:r>
    </w:p>
    <w:p w:rsidR="00CA1830" w:rsidRPr="00CA1830" w:rsidRDefault="00CA1830" w:rsidP="00CA1830">
      <w:pPr>
        <w:spacing w:after="120" w:line="264" w:lineRule="auto"/>
        <w:ind w:firstLine="720"/>
        <w:jc w:val="lowKashida"/>
        <w:rPr>
          <w:rFonts w:ascii="Times New Roman" w:eastAsia="Calibri" w:hAnsi="Times New Roman" w:cs="Times New Roman"/>
          <w:sz w:val="20"/>
          <w:szCs w:val="20"/>
          <w:rtl/>
        </w:rPr>
      </w:pPr>
      <w:r w:rsidRPr="00CA1830">
        <w:rPr>
          <w:rFonts w:ascii="Times New Roman" w:eastAsia="Calibri" w:hAnsi="Times New Roman" w:cs="Times New Roman" w:hint="cs"/>
          <w:sz w:val="20"/>
          <w:szCs w:val="20"/>
          <w:rtl/>
        </w:rPr>
        <w:t>وأيضاً قوله في باب الإدغام الكبير:</w:t>
      </w:r>
    </w:p>
    <w:p w:rsidR="00CA1830" w:rsidRPr="00CA1830" w:rsidRDefault="00CA1830" w:rsidP="00CA1830">
      <w:pPr>
        <w:spacing w:after="120" w:line="264" w:lineRule="auto"/>
        <w:ind w:firstLine="720"/>
        <w:jc w:val="lowKashida"/>
        <w:rPr>
          <w:rFonts w:ascii="Times New Roman" w:eastAsia="Calibri" w:hAnsi="Times New Roman" w:cs="Times New Roman"/>
          <w:sz w:val="20"/>
          <w:szCs w:val="20"/>
          <w:rtl/>
        </w:rPr>
      </w:pPr>
      <w:r w:rsidRPr="00CA1830">
        <w:rPr>
          <w:rFonts w:ascii="Times New Roman" w:eastAsia="Calibri" w:hAnsi="Times New Roman" w:cs="Times New Roman" w:hint="cs"/>
          <w:sz w:val="20"/>
          <w:szCs w:val="20"/>
          <w:rtl/>
        </w:rPr>
        <w:t>ودونك الإدغام الكبير وقطبه   ***   أبو عمرو البصري في تحفلا</w:t>
      </w:r>
      <w:r w:rsidRPr="00CA1830">
        <w:rPr>
          <w:rFonts w:ascii="Times New Roman" w:eastAsia="Calibri" w:hAnsi="Times New Roman" w:cs="Times New Roman" w:hint="cs"/>
          <w:sz w:val="20"/>
          <w:szCs w:val="20"/>
          <w:rtl/>
        </w:rPr>
        <w:tab/>
      </w:r>
    </w:p>
    <w:p w:rsidR="00CA1830" w:rsidRPr="00CA1830" w:rsidRDefault="00CA1830" w:rsidP="00CA1830">
      <w:pPr>
        <w:spacing w:after="120" w:line="264" w:lineRule="auto"/>
        <w:ind w:firstLine="720"/>
        <w:jc w:val="lowKashida"/>
        <w:rPr>
          <w:rFonts w:ascii="Times New Roman" w:eastAsia="Calibri" w:hAnsi="Times New Roman" w:cs="Times New Roman"/>
          <w:sz w:val="20"/>
          <w:szCs w:val="20"/>
          <w:rtl/>
        </w:rPr>
      </w:pPr>
      <w:r w:rsidRPr="00CA1830">
        <w:rPr>
          <w:rFonts w:ascii="Times New Roman" w:eastAsia="Calibri" w:hAnsi="Times New Roman" w:cs="Times New Roman" w:hint="cs"/>
          <w:sz w:val="20"/>
          <w:szCs w:val="20"/>
          <w:rtl/>
        </w:rPr>
        <w:t>[الحرز بيت رقم: 116]</w:t>
      </w:r>
    </w:p>
    <w:p w:rsidR="00CA1830" w:rsidRPr="00CA1830" w:rsidRDefault="00CA1830" w:rsidP="00CA1830">
      <w:pPr>
        <w:spacing w:after="120" w:line="264" w:lineRule="auto"/>
        <w:ind w:firstLine="720"/>
        <w:jc w:val="lowKashida"/>
        <w:rPr>
          <w:rFonts w:ascii="Times New Roman" w:eastAsia="Calibri" w:hAnsi="Times New Roman" w:cs="Times New Roman"/>
          <w:sz w:val="20"/>
          <w:szCs w:val="20"/>
          <w:rtl/>
        </w:rPr>
      </w:pPr>
      <w:r w:rsidRPr="00CA1830">
        <w:rPr>
          <w:rFonts w:ascii="Times New Roman" w:eastAsia="Calibri" w:hAnsi="Times New Roman" w:cs="Times New Roman" w:hint="cs"/>
          <w:sz w:val="20"/>
          <w:szCs w:val="20"/>
          <w:rtl/>
        </w:rPr>
        <w:t xml:space="preserve">حيث خصّ </w:t>
      </w:r>
      <w:proofErr w:type="spellStart"/>
      <w:r w:rsidRPr="00CA1830">
        <w:rPr>
          <w:rFonts w:ascii="Times New Roman" w:eastAsia="Calibri" w:hAnsi="Times New Roman" w:cs="Times New Roman" w:hint="cs"/>
          <w:sz w:val="20"/>
          <w:szCs w:val="20"/>
          <w:rtl/>
        </w:rPr>
        <w:t>السوسي</w:t>
      </w:r>
      <w:proofErr w:type="spellEnd"/>
      <w:r w:rsidRPr="00CA1830">
        <w:rPr>
          <w:rFonts w:ascii="Times New Roman" w:eastAsia="Calibri" w:hAnsi="Times New Roman" w:cs="Times New Roman" w:hint="cs"/>
          <w:sz w:val="20"/>
          <w:szCs w:val="20"/>
          <w:rtl/>
        </w:rPr>
        <w:t xml:space="preserve"> بإبدال الهمز الساكن دون الدوري، وعَمّ أبا عمرو من روايتي الدوري </w:t>
      </w:r>
      <w:proofErr w:type="spellStart"/>
      <w:r w:rsidRPr="00CA1830">
        <w:rPr>
          <w:rFonts w:ascii="Times New Roman" w:eastAsia="Calibri" w:hAnsi="Times New Roman" w:cs="Times New Roman" w:hint="cs"/>
          <w:sz w:val="20"/>
          <w:szCs w:val="20"/>
          <w:rtl/>
        </w:rPr>
        <w:t>والسوسي</w:t>
      </w:r>
      <w:proofErr w:type="spellEnd"/>
      <w:r w:rsidRPr="00CA1830">
        <w:rPr>
          <w:rFonts w:ascii="Times New Roman" w:eastAsia="Calibri" w:hAnsi="Times New Roman" w:cs="Times New Roman" w:hint="cs"/>
          <w:sz w:val="20"/>
          <w:szCs w:val="20"/>
          <w:rtl/>
        </w:rPr>
        <w:t xml:space="preserve"> بالإظهار والإدغام وهذا موافق لما ذكره أبو عمرو الداني في كتاب التيسير. ينظر التيسير:11،12،17،30.</w:t>
      </w:r>
    </w:p>
  </w:footnote>
  <w:footnote w:id="5">
    <w:p w:rsidR="00CA1830" w:rsidRPr="00CA1830" w:rsidRDefault="00CA1830" w:rsidP="00CA1830">
      <w:pPr>
        <w:spacing w:after="120" w:line="264" w:lineRule="auto"/>
        <w:ind w:firstLine="720"/>
        <w:jc w:val="lowKashida"/>
        <w:rPr>
          <w:rFonts w:ascii="Times New Roman" w:eastAsia="Calibri" w:hAnsi="Times New Roman" w:cs="Times New Roman"/>
          <w:sz w:val="20"/>
          <w:szCs w:val="20"/>
          <w:rtl/>
        </w:rPr>
      </w:pPr>
      <w:r w:rsidRPr="00CA1830">
        <w:rPr>
          <w:rFonts w:ascii="Times New Roman" w:eastAsia="Calibri" w:hAnsi="Times New Roman" w:cs="Times New Roman" w:hint="cs"/>
          <w:sz w:val="20"/>
          <w:szCs w:val="20"/>
          <w:rtl/>
        </w:rPr>
        <w:t>(</w:t>
      </w:r>
      <w:r w:rsidRPr="00CA1830">
        <w:rPr>
          <w:rFonts w:ascii="Times New Roman" w:eastAsia="Calibri" w:hAnsi="Times New Roman" w:cs="Times New Roman"/>
          <w:sz w:val="20"/>
          <w:szCs w:val="20"/>
        </w:rPr>
        <w:footnoteRef/>
      </w:r>
      <w:r w:rsidRPr="00CA1830">
        <w:rPr>
          <w:rFonts w:ascii="Times New Roman" w:eastAsia="Calibri" w:hAnsi="Times New Roman" w:cs="Times New Roman" w:hint="cs"/>
          <w:sz w:val="20"/>
          <w:szCs w:val="20"/>
          <w:rtl/>
        </w:rPr>
        <w:t xml:space="preserve">) يقول الإمام الجعبري: (( والناظم ـ أي الشاطبي ـ خص </w:t>
      </w:r>
      <w:proofErr w:type="spellStart"/>
      <w:r w:rsidRPr="00CA1830">
        <w:rPr>
          <w:rFonts w:ascii="Times New Roman" w:eastAsia="Calibri" w:hAnsi="Times New Roman" w:cs="Times New Roman" w:hint="cs"/>
          <w:sz w:val="20"/>
          <w:szCs w:val="20"/>
          <w:rtl/>
        </w:rPr>
        <w:t>السوسي</w:t>
      </w:r>
      <w:proofErr w:type="spellEnd"/>
      <w:r w:rsidRPr="00CA1830">
        <w:rPr>
          <w:rFonts w:ascii="Times New Roman" w:eastAsia="Calibri" w:hAnsi="Times New Roman" w:cs="Times New Roman" w:hint="cs"/>
          <w:sz w:val="20"/>
          <w:szCs w:val="20"/>
          <w:rtl/>
        </w:rPr>
        <w:t xml:space="preserve"> بتحقيق الهمز، والدوري بتحقيقه، فأسقط وجه تخفيف الدوري، ووجه تحقيق الدوري، اختياراً منه والمشهور عند النقلة إجراء الوجهين لكل منهما.))  كنز المعاني:1/376.</w:t>
      </w:r>
    </w:p>
  </w:footnote>
  <w:footnote w:id="6">
    <w:p w:rsidR="00CA1830" w:rsidRPr="00CA1830" w:rsidRDefault="00CA1830" w:rsidP="00CA1830">
      <w:pPr>
        <w:spacing w:after="120" w:line="264" w:lineRule="auto"/>
        <w:ind w:firstLine="720"/>
        <w:jc w:val="lowKashida"/>
        <w:rPr>
          <w:rFonts w:ascii="Times New Roman" w:eastAsia="Calibri" w:hAnsi="Times New Roman" w:cs="Times New Roman"/>
          <w:sz w:val="20"/>
          <w:szCs w:val="20"/>
          <w:rtl/>
        </w:rPr>
      </w:pPr>
      <w:r w:rsidRPr="00CA1830">
        <w:rPr>
          <w:rFonts w:ascii="Times New Roman" w:eastAsia="Calibri" w:hAnsi="Times New Roman" w:cs="Times New Roman" w:hint="cs"/>
          <w:sz w:val="20"/>
          <w:szCs w:val="20"/>
          <w:rtl/>
        </w:rPr>
        <w:t>(</w:t>
      </w:r>
      <w:r w:rsidRPr="00CA1830">
        <w:rPr>
          <w:rFonts w:ascii="Times New Roman" w:eastAsia="Calibri" w:hAnsi="Times New Roman" w:cs="Times New Roman"/>
          <w:sz w:val="20"/>
          <w:szCs w:val="20"/>
        </w:rPr>
        <w:footnoteRef/>
      </w:r>
      <w:r w:rsidRPr="00CA1830">
        <w:rPr>
          <w:rFonts w:ascii="Times New Roman" w:eastAsia="Calibri" w:hAnsi="Times New Roman" w:cs="Times New Roman" w:hint="cs"/>
          <w:sz w:val="20"/>
          <w:szCs w:val="20"/>
          <w:rtl/>
        </w:rPr>
        <w:t xml:space="preserve">)  يقول ابن </w:t>
      </w:r>
      <w:proofErr w:type="spellStart"/>
      <w:r w:rsidRPr="00CA1830">
        <w:rPr>
          <w:rFonts w:ascii="Times New Roman" w:eastAsia="Calibri" w:hAnsi="Times New Roman" w:cs="Times New Roman" w:hint="cs"/>
          <w:sz w:val="20"/>
          <w:szCs w:val="20"/>
          <w:rtl/>
        </w:rPr>
        <w:t>الباذش</w:t>
      </w:r>
      <w:proofErr w:type="spellEnd"/>
      <w:r w:rsidRPr="00CA1830">
        <w:rPr>
          <w:rFonts w:ascii="Times New Roman" w:eastAsia="Calibri" w:hAnsi="Times New Roman" w:cs="Times New Roman" w:hint="cs"/>
          <w:sz w:val="20"/>
          <w:szCs w:val="20"/>
          <w:rtl/>
        </w:rPr>
        <w:t xml:space="preserve"> في بيان وجه الإدغام مع التحقيق: (( قال أبو علي </w:t>
      </w:r>
      <w:proofErr w:type="spellStart"/>
      <w:r w:rsidRPr="00CA1830">
        <w:rPr>
          <w:rFonts w:ascii="Times New Roman" w:eastAsia="Calibri" w:hAnsi="Times New Roman" w:cs="Times New Roman" w:hint="cs"/>
          <w:sz w:val="20"/>
          <w:szCs w:val="20"/>
          <w:rtl/>
        </w:rPr>
        <w:t>الأهوازي</w:t>
      </w:r>
      <w:proofErr w:type="spellEnd"/>
      <w:r w:rsidRPr="00CA1830">
        <w:rPr>
          <w:rFonts w:ascii="Times New Roman" w:eastAsia="Calibri" w:hAnsi="Times New Roman" w:cs="Times New Roman" w:hint="cs"/>
          <w:sz w:val="20"/>
          <w:szCs w:val="20"/>
          <w:rtl/>
        </w:rPr>
        <w:t xml:space="preserve">: ما رأيت أحداً ممن قرأت عليه يأخذ عنه ـ أي عن أبي عمرو ـ بالهمز مع الإدغام. والناس على ما ذكر </w:t>
      </w:r>
      <w:proofErr w:type="spellStart"/>
      <w:r w:rsidRPr="00CA1830">
        <w:rPr>
          <w:rFonts w:ascii="Times New Roman" w:eastAsia="Calibri" w:hAnsi="Times New Roman" w:cs="Times New Roman" w:hint="cs"/>
          <w:sz w:val="20"/>
          <w:szCs w:val="20"/>
          <w:rtl/>
        </w:rPr>
        <w:t>الأهوازي</w:t>
      </w:r>
      <w:proofErr w:type="spellEnd"/>
      <w:r w:rsidRPr="00CA1830">
        <w:rPr>
          <w:rFonts w:ascii="Times New Roman" w:eastAsia="Calibri" w:hAnsi="Times New Roman" w:cs="Times New Roman" w:hint="cs"/>
          <w:sz w:val="20"/>
          <w:szCs w:val="20"/>
          <w:rtl/>
        </w:rPr>
        <w:t xml:space="preserve">، إلا أن محمد شريح بن محمد أجاز لي الإدغام مع الهمز وما سمعت ذلك من غيره، وأما تخفيف الهمزة فلا يلزم معه الإدغام. )) الإقناع:72، وينظر الدر النثير:385-386، وكنز المعاني:1/376، وقد انفرد بهذا الوجه الهذلي في الكامل فقال: ((  وربما همز وأدغم المتحرك )) هكذا قرأنا على ابن هاشم الأنطاكي ، وتعقبه ابن الجزري  في </w:t>
      </w:r>
      <w:proofErr w:type="spellStart"/>
      <w:r w:rsidRPr="00CA1830">
        <w:rPr>
          <w:rFonts w:ascii="Times New Roman" w:eastAsia="Calibri" w:hAnsi="Times New Roman" w:cs="Times New Roman" w:hint="cs"/>
          <w:sz w:val="20"/>
          <w:szCs w:val="20"/>
          <w:rtl/>
        </w:rPr>
        <w:t>النشر:قائلاً</w:t>
      </w:r>
      <w:proofErr w:type="spellEnd"/>
      <w:r w:rsidRPr="00CA1830">
        <w:rPr>
          <w:rFonts w:ascii="Times New Roman" w:eastAsia="Calibri" w:hAnsi="Times New Roman" w:cs="Times New Roman" w:hint="cs"/>
          <w:sz w:val="20"/>
          <w:szCs w:val="20"/>
          <w:rtl/>
        </w:rPr>
        <w:t>: (( وهو وهمٌ عنه عن ابن هاشم المذكور... الخ )) وقال ابن الجزري عن هذا الوجه: (( الإدغام مع الهمز ممنوع عن أئمة القراءة ولم يجزه أحد من المحققين.)) ينظر النشر:1/217، وينظر الكامل:352.</w:t>
      </w:r>
    </w:p>
  </w:footnote>
  <w:footnote w:id="7">
    <w:p w:rsidR="00CA1830" w:rsidRPr="00CA1830" w:rsidRDefault="00CA1830" w:rsidP="00CA1830">
      <w:pPr>
        <w:spacing w:after="120" w:line="264" w:lineRule="auto"/>
        <w:ind w:firstLine="720"/>
        <w:jc w:val="lowKashida"/>
        <w:rPr>
          <w:rFonts w:ascii="Times New Roman" w:eastAsia="Calibri" w:hAnsi="Times New Roman" w:cs="Times New Roman"/>
          <w:sz w:val="20"/>
          <w:szCs w:val="20"/>
          <w:rtl/>
        </w:rPr>
      </w:pPr>
      <w:r w:rsidRPr="00CA1830">
        <w:rPr>
          <w:rFonts w:ascii="Times New Roman" w:eastAsia="Calibri" w:hAnsi="Times New Roman" w:cs="Times New Roman" w:hint="cs"/>
          <w:sz w:val="20"/>
          <w:szCs w:val="20"/>
          <w:rtl/>
        </w:rPr>
        <w:t>(</w:t>
      </w:r>
      <w:r w:rsidRPr="00CA1830">
        <w:rPr>
          <w:rFonts w:ascii="Times New Roman" w:eastAsia="Calibri" w:hAnsi="Times New Roman" w:cs="Times New Roman"/>
          <w:sz w:val="20"/>
          <w:szCs w:val="20"/>
        </w:rPr>
        <w:footnoteRef/>
      </w:r>
      <w:r w:rsidRPr="00CA1830">
        <w:rPr>
          <w:rFonts w:ascii="Times New Roman" w:eastAsia="Calibri" w:hAnsi="Times New Roman" w:cs="Times New Roman" w:hint="cs"/>
          <w:sz w:val="20"/>
          <w:szCs w:val="20"/>
          <w:rtl/>
        </w:rPr>
        <w:t>) جميع ما سبق حكاه ـ بلفظه ـ الإمام النويري في شرح الطيبة 2/72 وزد: (( فإن قلت: إطلاق الشاطبي الوجهين يوهم أنهما للدوري أيضاً. قلت: لا إيهام مع تحقق معرفة شرطه وهو الإبدال وهذا واضح لا يحتاج إلى تأمل. والله أعلم.))</w:t>
      </w:r>
    </w:p>
  </w:footnote>
  <w:footnote w:id="8">
    <w:p w:rsidR="00CA1830" w:rsidRPr="00CA1830" w:rsidRDefault="00CA1830" w:rsidP="00CA1830">
      <w:pPr>
        <w:spacing w:after="120" w:line="264" w:lineRule="auto"/>
        <w:ind w:firstLine="720"/>
        <w:jc w:val="lowKashida"/>
        <w:rPr>
          <w:rFonts w:ascii="Times New Roman" w:eastAsia="Calibri" w:hAnsi="Times New Roman" w:cs="Times New Roman"/>
          <w:sz w:val="20"/>
          <w:szCs w:val="20"/>
          <w:rtl/>
        </w:rPr>
      </w:pPr>
      <w:r w:rsidRPr="00CA1830">
        <w:rPr>
          <w:rFonts w:ascii="Times New Roman" w:eastAsia="Calibri" w:hAnsi="Times New Roman" w:cs="Times New Roman" w:hint="cs"/>
          <w:sz w:val="20"/>
          <w:szCs w:val="20"/>
          <w:rtl/>
        </w:rPr>
        <w:t>(</w:t>
      </w:r>
      <w:r w:rsidRPr="00CA1830">
        <w:rPr>
          <w:rFonts w:ascii="Times New Roman" w:eastAsia="Calibri" w:hAnsi="Times New Roman" w:cs="Times New Roman"/>
          <w:sz w:val="20"/>
          <w:szCs w:val="20"/>
        </w:rPr>
        <w:footnoteRef/>
      </w:r>
      <w:r w:rsidRPr="00CA1830">
        <w:rPr>
          <w:rFonts w:ascii="Times New Roman" w:eastAsia="Calibri" w:hAnsi="Times New Roman" w:cs="Times New Roman" w:hint="cs"/>
          <w:sz w:val="20"/>
          <w:szCs w:val="20"/>
          <w:rtl/>
        </w:rPr>
        <w:t xml:space="preserve">) يقول الإمام النويري: (( والصواب في ذلك: الرجوع لما عليه الأئمة من أن الإدغام لا يكون إلا مع الإبدال وكذلك أيضاً لا يكون مع قصر المد المنفصل لأنه إذا امتنع مع الهمز فمع المد أولى لأن الهمز يكون مع المد والقصر والإبدال لا يكون إلا مع القصر، ـ وقد تعقبه البناء الدمياطي قائلاً: (( قول النويري في شرحه الطيبة هنا والإبدال لا يكون إلا مع القصر إن أراد به </w:t>
      </w:r>
      <w:proofErr w:type="spellStart"/>
      <w:r w:rsidRPr="00CA1830">
        <w:rPr>
          <w:rFonts w:ascii="Times New Roman" w:eastAsia="Calibri" w:hAnsi="Times New Roman" w:cs="Times New Roman" w:hint="cs"/>
          <w:sz w:val="20"/>
          <w:szCs w:val="20"/>
          <w:rtl/>
        </w:rPr>
        <w:t>السوسي</w:t>
      </w:r>
      <w:proofErr w:type="spellEnd"/>
      <w:r w:rsidRPr="00CA1830">
        <w:rPr>
          <w:rFonts w:ascii="Times New Roman" w:eastAsia="Calibri" w:hAnsi="Times New Roman" w:cs="Times New Roman" w:hint="cs"/>
          <w:sz w:val="20"/>
          <w:szCs w:val="20"/>
          <w:rtl/>
        </w:rPr>
        <w:t xml:space="preserve"> من طريق الحرز فمُسَلَّم، وإلا ففيه نظراً لأن كلاًًّ من الدوري </w:t>
      </w:r>
      <w:proofErr w:type="spellStart"/>
      <w:r w:rsidRPr="00CA1830">
        <w:rPr>
          <w:rFonts w:ascii="Times New Roman" w:eastAsia="Calibri" w:hAnsi="Times New Roman" w:cs="Times New Roman" w:hint="cs"/>
          <w:sz w:val="20"/>
          <w:szCs w:val="20"/>
          <w:rtl/>
        </w:rPr>
        <w:t>والسوسي</w:t>
      </w:r>
      <w:proofErr w:type="spellEnd"/>
      <w:r w:rsidRPr="00CA1830">
        <w:rPr>
          <w:rFonts w:ascii="Times New Roman" w:eastAsia="Calibri" w:hAnsi="Times New Roman" w:cs="Times New Roman" w:hint="cs"/>
          <w:sz w:val="20"/>
          <w:szCs w:val="20"/>
          <w:rtl/>
        </w:rPr>
        <w:t xml:space="preserve"> روى عنه مد المنفصل، وتحقيق الهمز والإبدال، ولم يصرح أحد المصنفين من طريق الطيبة وأصلها التي هي طرق كتابنا هذا بمنع المد مع الإبدال، وإنما صرحوا بامتناع الإدغام مع تحقيق الهمز كما تقدم ومع مد المنفصل، وما ذكره ـ أعني النويري ـ في باب الهمز </w:t>
      </w:r>
      <w:proofErr w:type="spellStart"/>
      <w:r w:rsidRPr="00CA1830">
        <w:rPr>
          <w:rFonts w:ascii="Times New Roman" w:eastAsia="Calibri" w:hAnsi="Times New Roman" w:cs="Times New Roman" w:hint="cs"/>
          <w:sz w:val="20"/>
          <w:szCs w:val="20"/>
          <w:rtl/>
        </w:rPr>
        <w:t>بناءاً</w:t>
      </w:r>
      <w:proofErr w:type="spellEnd"/>
      <w:r w:rsidRPr="00CA1830">
        <w:rPr>
          <w:rFonts w:ascii="Times New Roman" w:eastAsia="Calibri" w:hAnsi="Times New Roman" w:cs="Times New Roman" w:hint="cs"/>
          <w:sz w:val="20"/>
          <w:szCs w:val="20"/>
          <w:rtl/>
        </w:rPr>
        <w:t xml:space="preserve"> على ما ذكره هنا، فليتفطن له. نبهّ عليه شيخنا ـ رحمه الله)) - ينظر شرح طيبة النشر للنويري: 2/69، والاتحاف:30، 31 بتصرف.</w:t>
      </w:r>
    </w:p>
  </w:footnote>
  <w:footnote w:id="9">
    <w:p w:rsidR="00CA1830" w:rsidRPr="00CA1830" w:rsidRDefault="00CA1830" w:rsidP="00CA1830">
      <w:pPr>
        <w:spacing w:after="120" w:line="264" w:lineRule="auto"/>
        <w:ind w:firstLine="720"/>
        <w:jc w:val="lowKashida"/>
        <w:rPr>
          <w:rFonts w:ascii="Times New Roman" w:eastAsia="Calibri" w:hAnsi="Times New Roman" w:cs="Times New Roman"/>
          <w:sz w:val="20"/>
          <w:szCs w:val="20"/>
        </w:rPr>
      </w:pPr>
      <w:r w:rsidRPr="00CA1830">
        <w:rPr>
          <w:rFonts w:ascii="Times New Roman" w:eastAsia="Calibri" w:hAnsi="Times New Roman" w:cs="Times New Roman" w:hint="cs"/>
          <w:sz w:val="20"/>
          <w:szCs w:val="20"/>
          <w:rtl/>
        </w:rPr>
        <w:t>(</w:t>
      </w:r>
      <w:r w:rsidRPr="00CA1830">
        <w:rPr>
          <w:rFonts w:ascii="Times New Roman" w:eastAsia="Calibri" w:hAnsi="Times New Roman" w:cs="Times New Roman"/>
          <w:sz w:val="20"/>
          <w:szCs w:val="20"/>
        </w:rPr>
        <w:footnoteRef/>
      </w:r>
      <w:r w:rsidRPr="00CA1830">
        <w:rPr>
          <w:rFonts w:ascii="Times New Roman" w:eastAsia="Calibri" w:hAnsi="Times New Roman" w:cs="Times New Roman" w:hint="cs"/>
          <w:sz w:val="20"/>
          <w:szCs w:val="20"/>
          <w:rtl/>
        </w:rPr>
        <w:t xml:space="preserve">) </w:t>
      </w:r>
      <w:proofErr w:type="spellStart"/>
      <w:r w:rsidRPr="00CA1830">
        <w:rPr>
          <w:rFonts w:ascii="Times New Roman" w:eastAsia="Calibri" w:hAnsi="Times New Roman" w:cs="Times New Roman" w:hint="cs"/>
          <w:sz w:val="20"/>
          <w:szCs w:val="20"/>
          <w:rtl/>
        </w:rPr>
        <w:t>التيسير:للداني</w:t>
      </w:r>
      <w:proofErr w:type="spellEnd"/>
      <w:r w:rsidRPr="00CA1830">
        <w:rPr>
          <w:rFonts w:ascii="Times New Roman" w:eastAsia="Calibri" w:hAnsi="Times New Roman" w:cs="Times New Roman" w:hint="cs"/>
          <w:sz w:val="20"/>
          <w:szCs w:val="20"/>
          <w:rtl/>
        </w:rPr>
        <w:t>: 11.</w:t>
      </w:r>
    </w:p>
  </w:footnote>
  <w:footnote w:id="10">
    <w:p w:rsidR="00CA1830" w:rsidRPr="00803138" w:rsidRDefault="00CA1830" w:rsidP="00CA1830">
      <w:pPr>
        <w:spacing w:after="120" w:line="264" w:lineRule="auto"/>
        <w:ind w:firstLine="720"/>
        <w:jc w:val="lowKashida"/>
        <w:rPr>
          <w:rFonts w:cs="Traditional Arabic"/>
          <w:b/>
          <w:bCs/>
          <w:sz w:val="28"/>
          <w:szCs w:val="28"/>
        </w:rPr>
      </w:pPr>
      <w:r w:rsidRPr="00CA1830">
        <w:rPr>
          <w:rFonts w:ascii="Times New Roman" w:eastAsia="Calibri" w:hAnsi="Times New Roman" w:cs="Times New Roman" w:hint="cs"/>
          <w:sz w:val="20"/>
          <w:szCs w:val="20"/>
          <w:rtl/>
        </w:rPr>
        <w:t>(</w:t>
      </w:r>
      <w:r w:rsidRPr="00CA1830">
        <w:rPr>
          <w:rFonts w:ascii="Times New Roman" w:eastAsia="Calibri" w:hAnsi="Times New Roman" w:cs="Times New Roman"/>
          <w:sz w:val="20"/>
          <w:szCs w:val="20"/>
        </w:rPr>
        <w:footnoteRef/>
      </w:r>
      <w:r w:rsidRPr="00CA1830">
        <w:rPr>
          <w:rFonts w:ascii="Times New Roman" w:eastAsia="Calibri" w:hAnsi="Times New Roman" w:cs="Times New Roman" w:hint="cs"/>
          <w:sz w:val="20"/>
          <w:szCs w:val="20"/>
          <w:rtl/>
        </w:rPr>
        <w:t xml:space="preserve">) </w:t>
      </w:r>
      <w:proofErr w:type="spellStart"/>
      <w:r w:rsidRPr="00CA1830">
        <w:rPr>
          <w:rFonts w:ascii="Times New Roman" w:eastAsia="Calibri" w:hAnsi="Times New Roman" w:cs="Times New Roman" w:hint="cs"/>
          <w:sz w:val="20"/>
          <w:szCs w:val="20"/>
          <w:rtl/>
        </w:rPr>
        <w:t>التيسير:للداني</w:t>
      </w:r>
      <w:proofErr w:type="spellEnd"/>
      <w:r w:rsidRPr="00CA1830">
        <w:rPr>
          <w:rFonts w:ascii="Times New Roman" w:eastAsia="Calibri" w:hAnsi="Times New Roman" w:cs="Times New Roman" w:hint="cs"/>
          <w:sz w:val="20"/>
          <w:szCs w:val="20"/>
          <w:rtl/>
        </w:rPr>
        <w:t>:</w:t>
      </w:r>
      <w:r w:rsidRPr="00803138">
        <w:rPr>
          <w:rFonts w:cs="Traditional Arabic" w:hint="cs"/>
          <w:b/>
          <w:bCs/>
          <w:sz w:val="28"/>
          <w:szCs w:val="28"/>
          <w:rtl/>
        </w:rPr>
        <w:t xml:space="preserve">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212E1"/>
    <w:multiLevelType w:val="hybridMultilevel"/>
    <w:tmpl w:val="2A489900"/>
    <w:lvl w:ilvl="0" w:tplc="17DA8BB8">
      <w:start w:val="1"/>
      <w:numFmt w:val="upperRoman"/>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830"/>
    <w:rsid w:val="00525568"/>
    <w:rsid w:val="00647C83"/>
    <w:rsid w:val="007F7465"/>
    <w:rsid w:val="009B16AC"/>
    <w:rsid w:val="009E67DD"/>
    <w:rsid w:val="00CA18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83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CA1830"/>
    <w:pPr>
      <w:spacing w:after="0" w:line="240" w:lineRule="auto"/>
    </w:pPr>
    <w:rPr>
      <w:rFonts w:ascii="Times New Roman" w:eastAsia="Times New Roman" w:hAnsi="Times New Roman" w:cs="Simplified Arabic"/>
      <w:sz w:val="20"/>
      <w:szCs w:val="20"/>
      <w:lang w:bidi="ar-EG"/>
    </w:rPr>
  </w:style>
  <w:style w:type="character" w:customStyle="1" w:styleId="Char">
    <w:name w:val="نص حاشية سفلية Char"/>
    <w:basedOn w:val="a0"/>
    <w:link w:val="a3"/>
    <w:semiHidden/>
    <w:rsid w:val="00CA1830"/>
    <w:rPr>
      <w:rFonts w:ascii="Times New Roman" w:eastAsia="Times New Roman" w:hAnsi="Times New Roman" w:cs="Simplified Arabic"/>
      <w:sz w:val="20"/>
      <w:szCs w:val="20"/>
      <w:lang w:bidi="ar-EG"/>
    </w:rPr>
  </w:style>
  <w:style w:type="character" w:styleId="a4">
    <w:name w:val="footnote reference"/>
    <w:basedOn w:val="a0"/>
    <w:semiHidden/>
    <w:rsid w:val="00CA1830"/>
    <w:rPr>
      <w:vertAlign w:val="superscript"/>
    </w:rPr>
  </w:style>
  <w:style w:type="paragraph" w:customStyle="1" w:styleId="CharCharCharCharCharCharCharCharChar">
    <w:name w:val="Char Char Char Char Char Char Char Char Char"/>
    <w:basedOn w:val="a"/>
    <w:rsid w:val="00CA1830"/>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83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CA1830"/>
    <w:pPr>
      <w:spacing w:after="0" w:line="240" w:lineRule="auto"/>
    </w:pPr>
    <w:rPr>
      <w:rFonts w:ascii="Times New Roman" w:eastAsia="Times New Roman" w:hAnsi="Times New Roman" w:cs="Simplified Arabic"/>
      <w:sz w:val="20"/>
      <w:szCs w:val="20"/>
      <w:lang w:bidi="ar-EG"/>
    </w:rPr>
  </w:style>
  <w:style w:type="character" w:customStyle="1" w:styleId="Char">
    <w:name w:val="نص حاشية سفلية Char"/>
    <w:basedOn w:val="a0"/>
    <w:link w:val="a3"/>
    <w:semiHidden/>
    <w:rsid w:val="00CA1830"/>
    <w:rPr>
      <w:rFonts w:ascii="Times New Roman" w:eastAsia="Times New Roman" w:hAnsi="Times New Roman" w:cs="Simplified Arabic"/>
      <w:sz w:val="20"/>
      <w:szCs w:val="20"/>
      <w:lang w:bidi="ar-EG"/>
    </w:rPr>
  </w:style>
  <w:style w:type="character" w:styleId="a4">
    <w:name w:val="footnote reference"/>
    <w:basedOn w:val="a0"/>
    <w:semiHidden/>
    <w:rsid w:val="00CA1830"/>
    <w:rPr>
      <w:vertAlign w:val="superscript"/>
    </w:rPr>
  </w:style>
  <w:style w:type="paragraph" w:customStyle="1" w:styleId="CharCharCharCharCharCharCharCharChar">
    <w:name w:val="Char Char Char Char Char Char Char Char Char"/>
    <w:basedOn w:val="a"/>
    <w:rsid w:val="00CA183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net</cp:lastModifiedBy>
  <cp:revision>2</cp:revision>
  <dcterms:created xsi:type="dcterms:W3CDTF">2013-06-01T10:10:00Z</dcterms:created>
  <dcterms:modified xsi:type="dcterms:W3CDTF">2013-06-01T10:20:00Z</dcterms:modified>
</cp:coreProperties>
</file>