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F" w:rsidRPr="00CA5612" w:rsidRDefault="006E62CF" w:rsidP="006E62CF">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w:t>
      </w:r>
      <w:r>
        <w:rPr>
          <w:rFonts w:ascii="Times New Roman" w:eastAsia="Calibri" w:hAnsi="Times New Roman" w:cs="Times New Roman" w:hint="cs"/>
          <w:sz w:val="48"/>
          <w:szCs w:val="48"/>
          <w:rtl/>
          <w:lang w:bidi="ar-EG"/>
        </w:rPr>
        <w:t>تاسع</w:t>
      </w:r>
      <w:bookmarkStart w:id="0" w:name="_GoBack"/>
      <w:bookmarkEnd w:id="0"/>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6E62CF" w:rsidRPr="00CA5612" w:rsidRDefault="006E62CF" w:rsidP="006E62CF">
      <w:pPr>
        <w:rPr>
          <w:rFonts w:ascii="Times New Roman" w:eastAsia="Calibri" w:hAnsi="Times New Roman" w:cs="Times New Roman"/>
          <w:sz w:val="48"/>
          <w:szCs w:val="48"/>
          <w:rtl/>
          <w:lang w:bidi="ar-EG"/>
        </w:rPr>
      </w:pPr>
    </w:p>
    <w:p w:rsidR="006E62CF" w:rsidRPr="00CA5612" w:rsidRDefault="006E62CF" w:rsidP="006E62CF">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6E62CF" w:rsidRPr="00CA5612" w:rsidRDefault="006E62CF" w:rsidP="006E62CF">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6E62CF" w:rsidRPr="00CA5612" w:rsidRDefault="006E62CF" w:rsidP="006E62CF">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6E62CF" w:rsidRPr="00CA5612" w:rsidRDefault="006E62CF" w:rsidP="006E62CF">
      <w:pPr>
        <w:jc w:val="center"/>
        <w:rPr>
          <w:rFonts w:ascii="Calibri" w:eastAsia="Calibri" w:hAnsi="Calibri" w:cs="Arial"/>
          <w:i/>
          <w:iCs/>
          <w:sz w:val="20"/>
          <w:szCs w:val="20"/>
          <w:rtl/>
        </w:rPr>
      </w:pPr>
    </w:p>
    <w:p w:rsidR="006E62CF" w:rsidRPr="00CA5612" w:rsidRDefault="006E62CF" w:rsidP="006E62CF">
      <w:pPr>
        <w:rPr>
          <w:rFonts w:ascii="Times New Roman" w:eastAsia="Calibri" w:hAnsi="Times New Roman" w:cs="Times New Roman"/>
          <w:b/>
          <w:bCs/>
          <w:i/>
          <w:iCs/>
          <w:sz w:val="18"/>
          <w:szCs w:val="18"/>
          <w:rtl/>
        </w:rPr>
        <w:sectPr w:rsidR="006E62CF" w:rsidRPr="00CA5612" w:rsidSect="00CA5612">
          <w:pgSz w:w="11906" w:h="16838"/>
          <w:pgMar w:top="1440" w:right="1800" w:bottom="1440" w:left="1800" w:header="708" w:footer="708" w:gutter="0"/>
          <w:cols w:space="708"/>
          <w:bidi/>
          <w:rtlGutter/>
          <w:docGrid w:linePitch="360"/>
        </w:sectPr>
      </w:pPr>
    </w:p>
    <w:p w:rsidR="006E62CF" w:rsidRPr="005F2B69" w:rsidRDefault="006E62CF" w:rsidP="006E62CF">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6E62CF" w:rsidRDefault="006E62CF" w:rsidP="006E62CF">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6E62CF" w:rsidRPr="00CA5612" w:rsidRDefault="006E62CF" w:rsidP="006E62CF">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6E62CF" w:rsidRPr="00CA5612" w:rsidRDefault="006E62CF" w:rsidP="006E62CF">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6E62CF" w:rsidRPr="00CA5612" w:rsidRDefault="006E62CF" w:rsidP="006E62CF">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6E62CF" w:rsidRPr="00CA5612" w:rsidRDefault="006E62CF" w:rsidP="006E62CF">
      <w:pPr>
        <w:widowControl w:val="0"/>
        <w:spacing w:after="0" w:line="240" w:lineRule="auto"/>
        <w:ind w:left="734"/>
        <w:jc w:val="lowKashida"/>
        <w:rPr>
          <w:rFonts w:ascii="Times New Roman" w:eastAsia="Calibri" w:hAnsi="Times New Roman" w:cs="Times New Roman"/>
          <w:b/>
          <w:bCs/>
          <w:sz w:val="18"/>
          <w:szCs w:val="18"/>
          <w:rtl/>
        </w:rPr>
      </w:pP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t>ثم إن للإدغام شروطاً وأسباباً وموانعَ :</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t>فأما شروطه في المدغم: فأن يلتقي الحرفان خطاً ولفظاً نحو "الرحيم مالك"(</w:t>
      </w:r>
      <w:r w:rsidRPr="006E62CF">
        <w:rPr>
          <w:rFonts w:ascii="Times New Roman" w:eastAsia="Calibri" w:hAnsi="Times New Roman" w:cs="Times New Roman"/>
          <w:sz w:val="20"/>
          <w:szCs w:val="20"/>
          <w:rtl/>
        </w:rPr>
        <w:footnoteReference w:id="1"/>
      </w:r>
      <w:r w:rsidRPr="006E62CF">
        <w:rPr>
          <w:rFonts w:ascii="Times New Roman" w:eastAsia="Calibri" w:hAnsi="Times New Roman" w:cs="Times New Roman" w:hint="cs"/>
          <w:sz w:val="20"/>
          <w:szCs w:val="20"/>
          <w:rtl/>
        </w:rPr>
        <w:t>)،  أو خطاً لا لفظاً نحو "إنه هو"(</w:t>
      </w:r>
      <w:r w:rsidRPr="006E62CF">
        <w:rPr>
          <w:rFonts w:ascii="Times New Roman" w:eastAsia="Calibri" w:hAnsi="Times New Roman" w:cs="Times New Roman"/>
          <w:sz w:val="20"/>
          <w:szCs w:val="20"/>
          <w:rtl/>
        </w:rPr>
        <w:footnoteReference w:id="2"/>
      </w:r>
      <w:r w:rsidRPr="006E62CF">
        <w:rPr>
          <w:rFonts w:ascii="Times New Roman" w:eastAsia="Calibri" w:hAnsi="Times New Roman" w:cs="Times New Roman" w:hint="cs"/>
          <w:sz w:val="20"/>
          <w:szCs w:val="20"/>
          <w:rtl/>
        </w:rPr>
        <w:t>) ، فإن التقيا لفظاً لا خطاً نحو "أنا نذير"(</w:t>
      </w:r>
      <w:r w:rsidRPr="006E62CF">
        <w:rPr>
          <w:rFonts w:ascii="Times New Roman" w:eastAsia="Calibri" w:hAnsi="Times New Roman" w:cs="Times New Roman"/>
          <w:sz w:val="20"/>
          <w:szCs w:val="20"/>
          <w:rtl/>
        </w:rPr>
        <w:footnoteReference w:id="3"/>
      </w:r>
      <w:r w:rsidRPr="006E62CF">
        <w:rPr>
          <w:rFonts w:ascii="Times New Roman" w:eastAsia="Calibri" w:hAnsi="Times New Roman" w:cs="Times New Roman" w:hint="cs"/>
          <w:sz w:val="20"/>
          <w:szCs w:val="20"/>
          <w:rtl/>
        </w:rPr>
        <w:t>) امتنع الإدغام وفي المدغم فيه: كونه أكثر من حرف [إن](</w:t>
      </w:r>
      <w:r w:rsidRPr="006E62CF">
        <w:rPr>
          <w:rFonts w:ascii="Times New Roman" w:eastAsia="Calibri" w:hAnsi="Times New Roman" w:cs="Times New Roman"/>
          <w:sz w:val="20"/>
          <w:szCs w:val="20"/>
          <w:rtl/>
        </w:rPr>
        <w:footnoteReference w:id="4"/>
      </w:r>
      <w:r w:rsidRPr="006E62CF">
        <w:rPr>
          <w:rFonts w:ascii="Times New Roman" w:eastAsia="Calibri" w:hAnsi="Times New Roman" w:cs="Times New Roman" w:hint="cs"/>
          <w:sz w:val="20"/>
          <w:szCs w:val="20"/>
          <w:rtl/>
        </w:rPr>
        <w:t xml:space="preserve">) كانا بكلمة واحدة فيدخل </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lastRenderedPageBreak/>
        <w:t>[نحو](</w:t>
      </w:r>
      <w:r w:rsidRPr="006E62CF">
        <w:rPr>
          <w:rFonts w:ascii="Times New Roman" w:eastAsia="Calibri" w:hAnsi="Times New Roman" w:cs="Times New Roman"/>
          <w:sz w:val="20"/>
          <w:szCs w:val="20"/>
          <w:rtl/>
        </w:rPr>
        <w:footnoteReference w:id="5"/>
      </w:r>
      <w:r w:rsidRPr="006E62CF">
        <w:rPr>
          <w:rFonts w:ascii="Times New Roman" w:eastAsia="Calibri" w:hAnsi="Times New Roman" w:cs="Times New Roman" w:hint="cs"/>
          <w:sz w:val="20"/>
          <w:szCs w:val="20"/>
          <w:rtl/>
        </w:rPr>
        <w:t>) "خلقكم"(</w:t>
      </w:r>
      <w:r w:rsidRPr="006E62CF">
        <w:rPr>
          <w:rFonts w:ascii="Times New Roman" w:eastAsia="Calibri" w:hAnsi="Times New Roman" w:cs="Times New Roman"/>
          <w:sz w:val="20"/>
          <w:szCs w:val="20"/>
          <w:rtl/>
        </w:rPr>
        <w:footnoteReference w:id="6"/>
      </w:r>
      <w:r w:rsidRPr="006E62CF">
        <w:rPr>
          <w:rFonts w:ascii="Times New Roman" w:eastAsia="Calibri" w:hAnsi="Times New Roman" w:cs="Times New Roman" w:hint="cs"/>
          <w:sz w:val="20"/>
          <w:szCs w:val="20"/>
          <w:rtl/>
        </w:rPr>
        <w:t>) ويخرج [نحو](</w:t>
      </w:r>
      <w:r w:rsidRPr="006E62CF">
        <w:rPr>
          <w:rFonts w:ascii="Times New Roman" w:eastAsia="Calibri" w:hAnsi="Times New Roman" w:cs="Times New Roman"/>
          <w:sz w:val="20"/>
          <w:szCs w:val="20"/>
          <w:rtl/>
        </w:rPr>
        <w:footnoteReference w:id="7"/>
      </w:r>
      <w:r w:rsidRPr="006E62CF">
        <w:rPr>
          <w:rFonts w:ascii="Times New Roman" w:eastAsia="Calibri" w:hAnsi="Times New Roman" w:cs="Times New Roman" w:hint="cs"/>
          <w:sz w:val="20"/>
          <w:szCs w:val="20"/>
          <w:rtl/>
        </w:rPr>
        <w:t>) "خلقك"(</w:t>
      </w:r>
      <w:r w:rsidRPr="006E62CF">
        <w:rPr>
          <w:rFonts w:ascii="Times New Roman" w:eastAsia="Calibri" w:hAnsi="Times New Roman" w:cs="Times New Roman"/>
          <w:sz w:val="20"/>
          <w:szCs w:val="20"/>
          <w:rtl/>
        </w:rPr>
        <w:footnoteReference w:id="8"/>
      </w: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tl/>
        </w:rPr>
        <w:footnoteReference w:id="9"/>
      </w:r>
      <w:r w:rsidRPr="006E62CF">
        <w:rPr>
          <w:rFonts w:ascii="Times New Roman" w:eastAsia="Calibri" w:hAnsi="Times New Roman" w:cs="Times New Roman" w:hint="cs"/>
          <w:sz w:val="20"/>
          <w:szCs w:val="20"/>
          <w:rtl/>
        </w:rPr>
        <w:t>).</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t>وأما أسبابه:-</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t>فالتماثل هو: أن يتحدا مخرجاً وصفة [كالباء في الباء](</w:t>
      </w:r>
      <w:r w:rsidRPr="006E62CF">
        <w:rPr>
          <w:rFonts w:ascii="Times New Roman" w:eastAsia="Calibri" w:hAnsi="Times New Roman" w:cs="Times New Roman"/>
          <w:sz w:val="20"/>
          <w:szCs w:val="20"/>
          <w:rtl/>
        </w:rPr>
        <w:footnoteReference w:id="10"/>
      </w: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tl/>
        </w:rPr>
        <w:footnoteReference w:id="11"/>
      </w:r>
      <w:r w:rsidRPr="006E62CF">
        <w:rPr>
          <w:rFonts w:ascii="Times New Roman" w:eastAsia="Calibri" w:hAnsi="Times New Roman" w:cs="Times New Roman" w:hint="cs"/>
          <w:sz w:val="20"/>
          <w:szCs w:val="20"/>
          <w:rtl/>
        </w:rPr>
        <w:t>)، والكاف في الكاف(</w:t>
      </w:r>
      <w:r w:rsidRPr="006E62CF">
        <w:rPr>
          <w:rFonts w:ascii="Times New Roman" w:eastAsia="Calibri" w:hAnsi="Times New Roman" w:cs="Times New Roman"/>
          <w:sz w:val="20"/>
          <w:szCs w:val="20"/>
          <w:rtl/>
        </w:rPr>
        <w:footnoteReference w:id="12"/>
      </w:r>
      <w:r w:rsidRPr="006E62CF">
        <w:rPr>
          <w:rFonts w:ascii="Times New Roman" w:eastAsia="Calibri" w:hAnsi="Times New Roman" w:cs="Times New Roman" w:hint="cs"/>
          <w:sz w:val="20"/>
          <w:szCs w:val="20"/>
          <w:rtl/>
        </w:rPr>
        <w:t>).</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t>والتجانس هو: أن يتفقا مخرجاً ويختلفا صفة، كالدال في التاء(</w:t>
      </w:r>
      <w:r w:rsidRPr="006E62CF">
        <w:rPr>
          <w:rFonts w:ascii="Times New Roman" w:eastAsia="Calibri" w:hAnsi="Times New Roman" w:cs="Times New Roman"/>
          <w:sz w:val="20"/>
          <w:szCs w:val="20"/>
          <w:rtl/>
        </w:rPr>
        <w:footnoteReference w:id="13"/>
      </w:r>
      <w:r w:rsidRPr="006E62CF">
        <w:rPr>
          <w:rFonts w:ascii="Times New Roman" w:eastAsia="Calibri" w:hAnsi="Times New Roman" w:cs="Times New Roman" w:hint="cs"/>
          <w:sz w:val="20"/>
          <w:szCs w:val="20"/>
          <w:rtl/>
        </w:rPr>
        <w:t>)، والتاء في الطاء(</w:t>
      </w:r>
      <w:r w:rsidRPr="006E62CF">
        <w:rPr>
          <w:rFonts w:ascii="Times New Roman" w:eastAsia="Calibri" w:hAnsi="Times New Roman" w:cs="Times New Roman"/>
          <w:sz w:val="20"/>
          <w:szCs w:val="20"/>
          <w:rtl/>
        </w:rPr>
        <w:footnoteReference w:id="14"/>
      </w:r>
      <w:r w:rsidRPr="006E62CF">
        <w:rPr>
          <w:rFonts w:ascii="Times New Roman" w:eastAsia="Calibri" w:hAnsi="Times New Roman" w:cs="Times New Roman" w:hint="cs"/>
          <w:sz w:val="20"/>
          <w:szCs w:val="20"/>
          <w:rtl/>
        </w:rPr>
        <w:t>)، والتاء في الذال(</w:t>
      </w:r>
      <w:r w:rsidRPr="006E62CF">
        <w:rPr>
          <w:rFonts w:ascii="Times New Roman" w:eastAsia="Calibri" w:hAnsi="Times New Roman" w:cs="Times New Roman"/>
          <w:sz w:val="20"/>
          <w:szCs w:val="20"/>
          <w:rtl/>
        </w:rPr>
        <w:footnoteReference w:id="15"/>
      </w:r>
      <w:r w:rsidRPr="006E62CF">
        <w:rPr>
          <w:rFonts w:ascii="Times New Roman" w:eastAsia="Calibri" w:hAnsi="Times New Roman" w:cs="Times New Roman" w:hint="cs"/>
          <w:sz w:val="20"/>
          <w:szCs w:val="20"/>
          <w:rtl/>
        </w:rPr>
        <w:t>).</w:t>
      </w: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hint="cs"/>
          <w:sz w:val="20"/>
          <w:szCs w:val="20"/>
          <w:rtl/>
        </w:rPr>
        <w:lastRenderedPageBreak/>
        <w:t>والتقارب هو: أن يتقاربا مخرجاً أو صفة أو مخرجاً وصفة(</w:t>
      </w:r>
      <w:r w:rsidRPr="006E62CF">
        <w:rPr>
          <w:rFonts w:ascii="Times New Roman" w:eastAsia="Calibri" w:hAnsi="Times New Roman" w:cs="Times New Roman"/>
          <w:sz w:val="20"/>
          <w:szCs w:val="20"/>
          <w:rtl/>
        </w:rPr>
        <w:footnoteReference w:id="16"/>
      </w: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tl/>
        </w:rPr>
        <w:footnoteReference w:id="17"/>
      </w:r>
      <w:r w:rsidRPr="006E62CF">
        <w:rPr>
          <w:rFonts w:ascii="Times New Roman" w:eastAsia="Calibri" w:hAnsi="Times New Roman" w:cs="Times New Roman" w:hint="cs"/>
          <w:sz w:val="20"/>
          <w:szCs w:val="20"/>
          <w:rtl/>
        </w:rPr>
        <w:t>).</w:t>
      </w:r>
    </w:p>
    <w:p w:rsidR="006E62CF" w:rsidRPr="006E62CF" w:rsidRDefault="006E62CF" w:rsidP="006E62CF">
      <w:pPr>
        <w:jc w:val="lowKashida"/>
        <w:rPr>
          <w:rFonts w:ascii="Times New Roman" w:eastAsia="Calibri" w:hAnsi="Times New Roman" w:cs="Times New Roman" w:hint="cs"/>
          <w:sz w:val="20"/>
          <w:szCs w:val="20"/>
          <w:rtl/>
        </w:rPr>
      </w:pPr>
    </w:p>
    <w:p w:rsidR="006E62CF" w:rsidRPr="006E62CF" w:rsidRDefault="006E62CF" w:rsidP="006E62CF">
      <w:pPr>
        <w:jc w:val="lowKashida"/>
        <w:rPr>
          <w:rFonts w:ascii="Times New Roman" w:eastAsia="Calibri" w:hAnsi="Times New Roman" w:cs="Times New Roman" w:hint="cs"/>
          <w:sz w:val="20"/>
          <w:szCs w:val="20"/>
          <w:rtl/>
        </w:rPr>
      </w:pPr>
    </w:p>
    <w:p w:rsidR="006E62CF" w:rsidRPr="006E62CF" w:rsidRDefault="006E62CF" w:rsidP="006E62CF">
      <w:pPr>
        <w:jc w:val="lowKashida"/>
        <w:rPr>
          <w:rFonts w:ascii="Times New Roman" w:eastAsia="Calibri" w:hAnsi="Times New Roman" w:cs="Times New Roman" w:hint="cs"/>
          <w:sz w:val="20"/>
          <w:szCs w:val="20"/>
          <w:rtl/>
        </w:rPr>
      </w:pPr>
    </w:p>
    <w:p w:rsidR="006E62CF" w:rsidRPr="006E62CF" w:rsidRDefault="006E62CF" w:rsidP="006E62CF">
      <w:pPr>
        <w:jc w:val="lowKashida"/>
        <w:rPr>
          <w:rFonts w:ascii="Times New Roman" w:eastAsia="Calibri" w:hAnsi="Times New Roman" w:cs="Times New Roman" w:hint="cs"/>
          <w:sz w:val="20"/>
          <w:szCs w:val="20"/>
          <w:rtl/>
        </w:rPr>
      </w:pPr>
    </w:p>
    <w:p w:rsidR="006E62CF" w:rsidRPr="006E62CF" w:rsidRDefault="006E62CF" w:rsidP="006E62CF">
      <w:pPr>
        <w:jc w:val="lowKashida"/>
        <w:rPr>
          <w:rFonts w:ascii="Times New Roman" w:eastAsia="Calibri" w:hAnsi="Times New Roman" w:cs="Times New Roman" w:hint="cs"/>
          <w:sz w:val="20"/>
          <w:szCs w:val="20"/>
          <w:rtl/>
        </w:rPr>
      </w:pPr>
      <w:r w:rsidRPr="006E62CF">
        <w:rPr>
          <w:rFonts w:ascii="Times New Roman" w:eastAsia="Calibri" w:hAnsi="Times New Roman" w:cs="Times New Roman"/>
          <w:sz w:val="20"/>
          <w:szCs w:val="20"/>
          <w:rtl/>
        </w:rPr>
        <w:t xml:space="preserve">  </w:t>
      </w:r>
      <w:r w:rsidRPr="006E62CF">
        <w:rPr>
          <w:rFonts w:ascii="Times New Roman" w:eastAsia="Calibri" w:hAnsi="Times New Roman" w:cs="Times New Roman" w:hint="cs"/>
          <w:sz w:val="20"/>
          <w:szCs w:val="20"/>
          <w:rtl/>
        </w:rPr>
        <w:t>وزاد الجعبري: التشارك، والتلاصق، والتكافؤ(</w:t>
      </w:r>
      <w:r w:rsidRPr="006E62CF">
        <w:rPr>
          <w:rFonts w:ascii="Times New Roman" w:eastAsia="Calibri" w:hAnsi="Times New Roman" w:cs="Times New Roman"/>
          <w:sz w:val="20"/>
          <w:szCs w:val="20"/>
          <w:rtl/>
        </w:rPr>
        <w:footnoteReference w:id="18"/>
      </w:r>
      <w:r w:rsidRPr="006E62CF">
        <w:rPr>
          <w:rFonts w:ascii="Times New Roman" w:eastAsia="Calibri" w:hAnsi="Times New Roman" w:cs="Times New Roman" w:hint="cs"/>
          <w:sz w:val="20"/>
          <w:szCs w:val="20"/>
          <w:rtl/>
        </w:rPr>
        <w:t>)، لكن قال [ابن](</w:t>
      </w:r>
      <w:r w:rsidRPr="006E62CF">
        <w:rPr>
          <w:rFonts w:ascii="Times New Roman" w:eastAsia="Calibri" w:hAnsi="Times New Roman" w:cs="Times New Roman"/>
          <w:sz w:val="20"/>
          <w:szCs w:val="20"/>
          <w:rtl/>
        </w:rPr>
        <w:footnoteReference w:id="19"/>
      </w:r>
      <w:r w:rsidRPr="006E62CF">
        <w:rPr>
          <w:rFonts w:ascii="Times New Roman" w:eastAsia="Calibri" w:hAnsi="Times New Roman" w:cs="Times New Roman" w:hint="cs"/>
          <w:sz w:val="20"/>
          <w:szCs w:val="20"/>
          <w:rtl/>
        </w:rPr>
        <w:t>) الجزري: الأكثرون على الاكتفاء بالتماثل والتقارب(</w:t>
      </w:r>
      <w:r w:rsidRPr="006E62CF">
        <w:rPr>
          <w:rFonts w:ascii="Times New Roman" w:eastAsia="Calibri" w:hAnsi="Times New Roman" w:cs="Times New Roman"/>
          <w:sz w:val="20"/>
          <w:szCs w:val="20"/>
          <w:rtl/>
        </w:rPr>
        <w:footnoteReference w:id="20"/>
      </w:r>
      <w:r w:rsidRPr="006E62CF">
        <w:rPr>
          <w:rFonts w:ascii="Times New Roman" w:eastAsia="Calibri" w:hAnsi="Times New Roman" w:cs="Times New Roman" w:hint="cs"/>
          <w:sz w:val="20"/>
          <w:szCs w:val="20"/>
          <w:rtl/>
        </w:rPr>
        <w:t>).</w:t>
      </w:r>
    </w:p>
    <w:p w:rsidR="006E62CF" w:rsidRPr="00782A33" w:rsidRDefault="006E62CF" w:rsidP="006E62CF">
      <w:pPr>
        <w:jc w:val="lowKashida"/>
        <w:rPr>
          <w:rFonts w:ascii="Times New Roman" w:eastAsia="Calibri" w:hAnsi="Times New Roman" w:cs="Times New Roman"/>
          <w:sz w:val="20"/>
          <w:szCs w:val="20"/>
        </w:rPr>
      </w:pPr>
    </w:p>
    <w:p w:rsidR="006E62CF" w:rsidRPr="00782A33" w:rsidRDefault="006E62CF" w:rsidP="006E62CF">
      <w:pPr>
        <w:jc w:val="lowKashida"/>
        <w:rPr>
          <w:rFonts w:ascii="Times New Roman" w:eastAsia="Calibri" w:hAnsi="Times New Roman" w:cs="Times New Roman"/>
          <w:sz w:val="20"/>
          <w:szCs w:val="20"/>
        </w:rPr>
      </w:pPr>
    </w:p>
    <w:p w:rsidR="00525568" w:rsidRDefault="00525568"/>
    <w:sectPr w:rsidR="00525568"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FF" w:rsidRDefault="006E56FF" w:rsidP="006E62CF">
      <w:pPr>
        <w:spacing w:after="0" w:line="240" w:lineRule="auto"/>
      </w:pPr>
      <w:r>
        <w:separator/>
      </w:r>
    </w:p>
  </w:endnote>
  <w:endnote w:type="continuationSeparator" w:id="0">
    <w:p w:rsidR="006E56FF" w:rsidRDefault="006E56FF" w:rsidP="006E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FF" w:rsidRDefault="006E56FF" w:rsidP="006E62CF">
      <w:pPr>
        <w:spacing w:after="0" w:line="240" w:lineRule="auto"/>
      </w:pPr>
      <w:r>
        <w:separator/>
      </w:r>
    </w:p>
  </w:footnote>
  <w:footnote w:type="continuationSeparator" w:id="0">
    <w:p w:rsidR="006E56FF" w:rsidRDefault="006E56FF" w:rsidP="006E62CF">
      <w:pPr>
        <w:spacing w:after="0" w:line="240" w:lineRule="auto"/>
      </w:pPr>
      <w:r>
        <w:continuationSeparator/>
      </w:r>
    </w:p>
  </w:footnote>
  <w:footnote w:id="1">
    <w:p w:rsidR="006E62CF" w:rsidRPr="006E62CF" w:rsidRDefault="006E62CF" w:rsidP="006E62CF">
      <w:pPr>
        <w:jc w:val="lowKashida"/>
        <w:rPr>
          <w:rFonts w:ascii="Times New Roman" w:eastAsia="Calibri" w:hAnsi="Times New Roman" w:cs="Times New Roman" w:hint="cs"/>
          <w:sz w:val="20"/>
          <w:szCs w:val="20"/>
        </w:rPr>
      </w:pPr>
      <w:r w:rsidRPr="00803138">
        <w:rPr>
          <w:rFonts w:cs="Traditional Arabic" w:hint="cs"/>
          <w:b/>
          <w:bCs/>
          <w:sz w:val="28"/>
          <w:szCs w:val="28"/>
          <w:rtl/>
        </w:rPr>
        <w:t>(</w:t>
      </w:r>
      <w:r w:rsidRPr="00803138">
        <w:rPr>
          <w:rFonts w:cs="Traditional Arabic"/>
          <w:b/>
          <w:bCs/>
          <w:sz w:val="28"/>
          <w:szCs w:val="28"/>
        </w:rPr>
        <w:footnoteRef/>
      </w:r>
      <w:r w:rsidRPr="00803138">
        <w:rPr>
          <w:rFonts w:cs="Traditional Arabic" w:hint="cs"/>
          <w:b/>
          <w:bCs/>
          <w:sz w:val="28"/>
          <w:szCs w:val="28"/>
          <w:rtl/>
        </w:rPr>
        <w:t xml:space="preserve">) </w:t>
      </w:r>
      <w:r w:rsidRPr="006E62CF">
        <w:rPr>
          <w:rFonts w:ascii="Times New Roman" w:eastAsia="Calibri" w:hAnsi="Times New Roman" w:cs="Times New Roman" w:hint="cs"/>
          <w:sz w:val="20"/>
          <w:szCs w:val="20"/>
          <w:rtl/>
        </w:rPr>
        <w:t>سورة الفاتحة من الآيتين: 4،3.</w:t>
      </w:r>
    </w:p>
  </w:footnote>
  <w:footnote w:id="2">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سورة البقرة من الآية: 37.</w:t>
      </w:r>
    </w:p>
  </w:footnote>
  <w:footnote w:id="3">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سورة العنكبوت من الآية: 50.</w:t>
      </w:r>
    </w:p>
  </w:footnote>
  <w:footnote w:id="4">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xml:space="preserve">) ما بين المعقوفتين سقط من ج </w:t>
      </w:r>
      <w:r w:rsidRPr="006E62CF">
        <w:rPr>
          <w:rFonts w:ascii="Times New Roman" w:eastAsia="Calibri" w:hAnsi="Times New Roman" w:cs="Times New Roman"/>
          <w:sz w:val="20"/>
          <w:szCs w:val="20"/>
          <w:rtl/>
        </w:rPr>
        <w:t>–</w:t>
      </w:r>
      <w:r w:rsidRPr="006E62CF">
        <w:rPr>
          <w:rFonts w:ascii="Times New Roman" w:eastAsia="Calibri" w:hAnsi="Times New Roman" w:cs="Times New Roman" w:hint="cs"/>
          <w:sz w:val="20"/>
          <w:szCs w:val="20"/>
          <w:rtl/>
        </w:rPr>
        <w:t xml:space="preserve"> ويقول السمين الحلبي: ((ومما يمتنع إدغامه نحو: "أنا نذير" وإن صدق عليه أنه التقى مثلان متحركان لفظاً، لأن الألف فاصلة بين المثلين تقديراً فهي معتدٌ بها، ولذلك لابد منها في الوقف، وقد أتى بها فيا لوصل في "لكنا هو الله ربي" [الكهف:38]، و"أنا أحي" [البقرة:258]، كما سيأتي، فكانت في حكم الموجودة)) </w:t>
      </w:r>
      <w:r w:rsidRPr="006E62CF">
        <w:rPr>
          <w:rFonts w:ascii="Times New Roman" w:eastAsia="Calibri" w:hAnsi="Times New Roman" w:cs="Times New Roman"/>
          <w:sz w:val="20"/>
          <w:szCs w:val="20"/>
          <w:rtl/>
        </w:rPr>
        <w:t>–</w:t>
      </w:r>
      <w:r w:rsidRPr="006E62CF">
        <w:rPr>
          <w:rFonts w:ascii="Times New Roman" w:eastAsia="Calibri" w:hAnsi="Times New Roman" w:cs="Times New Roman" w:hint="cs"/>
          <w:sz w:val="20"/>
          <w:szCs w:val="20"/>
          <w:rtl/>
        </w:rPr>
        <w:t xml:space="preserve"> العقد النضيد:1/420،419.</w:t>
      </w:r>
    </w:p>
  </w:footnote>
  <w:footnote w:id="5">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ما بين المعقوفتين سقط من ب.</w:t>
      </w:r>
    </w:p>
  </w:footnote>
  <w:footnote w:id="6">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سورة البقرة من الآية: 21.</w:t>
      </w:r>
    </w:p>
  </w:footnote>
  <w:footnote w:id="7">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ما بين المعقوفتين سقط من ج.</w:t>
      </w:r>
    </w:p>
  </w:footnote>
  <w:footnote w:id="8">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سورة الانفطار من الآية: 7.</w:t>
      </w:r>
    </w:p>
  </w:footnote>
  <w:footnote w:id="9">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ينظر النشر: 1/218، وشرح طيبة النشر للنويري: 2/73، والإتحاف: 31، والإضاءة: 13.</w:t>
      </w:r>
    </w:p>
  </w:footnote>
  <w:footnote w:id="10">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ما بين المعقوفتين في ج : كالتاء في التاء.</w:t>
      </w:r>
    </w:p>
  </w:footnote>
  <w:footnote w:id="11">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مثال الباء في الياء قوله تعالى: "الكتاب بالحق" سورة البقرة من الآية: 176.</w:t>
      </w:r>
    </w:p>
  </w:footnote>
  <w:footnote w:id="12">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مثال الكاف فيا لكاف قوله تعالى: "إنك كنت" سورة طه من الآية: 35.</w:t>
      </w:r>
    </w:p>
  </w:footnote>
  <w:footnote w:id="13">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مثال الدال في التاء قوله تعالى: "المساجد تلك" سورة البقرة من الآية: 187.</w:t>
      </w:r>
    </w:p>
  </w:footnote>
  <w:footnote w:id="14">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مثال ذلك قوله تعالى: "لهمت طائفة" سورة النساء من الآية:113.</w:t>
      </w:r>
    </w:p>
  </w:footnote>
  <w:footnote w:id="15">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مثال ذلك قوله تعالى: "والحرث ذلك" سورة آل عمران من الآية: 14.</w:t>
      </w:r>
    </w:p>
  </w:footnote>
  <w:footnote w:id="16">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كالدال مع السين نحو "في الأصفاد سرابيلهم" سورة إبراهيم من الآيتين: 50،49، واللام مع الراء نحو: "رسل ربك" سورة هود من الآية: 18.</w:t>
      </w:r>
    </w:p>
  </w:footnote>
  <w:footnote w:id="17">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ينظر النشر: 1/218، وشرح طيبة النشر للنويري: 2/73، والإتحاف: 31، والإضاءة: 13.</w:t>
      </w:r>
    </w:p>
  </w:footnote>
  <w:footnote w:id="18">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xml:space="preserve">) كنز </w:t>
      </w:r>
      <w:proofErr w:type="spellStart"/>
      <w:r w:rsidRPr="006E62CF">
        <w:rPr>
          <w:rFonts w:ascii="Times New Roman" w:eastAsia="Calibri" w:hAnsi="Times New Roman" w:cs="Times New Roman" w:hint="cs"/>
          <w:sz w:val="20"/>
          <w:szCs w:val="20"/>
          <w:rtl/>
        </w:rPr>
        <w:t>المعاني:للجعبري</w:t>
      </w:r>
      <w:proofErr w:type="spellEnd"/>
      <w:r w:rsidRPr="006E62CF">
        <w:rPr>
          <w:rFonts w:ascii="Times New Roman" w:eastAsia="Calibri" w:hAnsi="Times New Roman" w:cs="Times New Roman" w:hint="cs"/>
          <w:sz w:val="20"/>
          <w:szCs w:val="20"/>
          <w:rtl/>
        </w:rPr>
        <w:t xml:space="preserve">: 1/370، والتشارك من شرك ، وشاركت فلاناً صرت شريكه ، وشَرٍكتُهُ في البيع والميراث أُشرٍكُهُ شٍركةً </w:t>
      </w:r>
      <w:proofErr w:type="spellStart"/>
      <w:r w:rsidRPr="006E62CF">
        <w:rPr>
          <w:rFonts w:ascii="Times New Roman" w:eastAsia="Calibri" w:hAnsi="Times New Roman" w:cs="Times New Roman" w:hint="cs"/>
          <w:sz w:val="20"/>
          <w:szCs w:val="20"/>
          <w:rtl/>
        </w:rPr>
        <w:t>والإسم</w:t>
      </w:r>
      <w:proofErr w:type="spellEnd"/>
      <w:r w:rsidRPr="006E62CF">
        <w:rPr>
          <w:rFonts w:ascii="Times New Roman" w:eastAsia="Calibri" w:hAnsi="Times New Roman" w:cs="Times New Roman" w:hint="cs"/>
          <w:sz w:val="20"/>
          <w:szCs w:val="20"/>
          <w:rtl/>
        </w:rPr>
        <w:t xml:space="preserve"> الشرك قال الأصمعي :يقال رأيت فلاناً مشتركاً إذا كان يحدث نفسه كالمهموم ،وأشركت نعلي : جعلت له شراكاً . والتلاصق من لصق به والتصق به وألصقه به غيره وفلان لصقي ولصيقي أي بجنبي واللسق مثل اللصق وهو لصوق الرئة بالجنب من العطش . والتكافؤ : الاستواء  من كفأ ومنه </w:t>
      </w:r>
      <w:proofErr w:type="spellStart"/>
      <w:r w:rsidRPr="006E62CF">
        <w:rPr>
          <w:rFonts w:ascii="Times New Roman" w:eastAsia="Calibri" w:hAnsi="Times New Roman" w:cs="Times New Roman" w:hint="cs"/>
          <w:sz w:val="20"/>
          <w:szCs w:val="20"/>
          <w:rtl/>
        </w:rPr>
        <w:t>الكفئ</w:t>
      </w:r>
      <w:proofErr w:type="spellEnd"/>
      <w:r w:rsidRPr="006E62CF">
        <w:rPr>
          <w:rFonts w:ascii="Times New Roman" w:eastAsia="Calibri" w:hAnsi="Times New Roman" w:cs="Times New Roman" w:hint="cs"/>
          <w:sz w:val="20"/>
          <w:szCs w:val="20"/>
          <w:rtl/>
        </w:rPr>
        <w:t xml:space="preserve"> : النظير ، وكذلك الكفء والكفؤ على فُعْل وفُعُل وتقول لا كٍفاء له أي لا نظير له وهو في الأصل مصدر . ينظر الصحاح للجوهري 4/1593 و1549 و1550 ، و1/68 .  </w:t>
      </w:r>
    </w:p>
  </w:footnote>
  <w:footnote w:id="19">
    <w:p w:rsidR="006E62CF" w:rsidRPr="006E62CF" w:rsidRDefault="006E62CF" w:rsidP="006E62CF">
      <w:pPr>
        <w:jc w:val="lowKashida"/>
        <w:rPr>
          <w:rFonts w:ascii="Times New Roman" w:eastAsia="Calibri" w:hAnsi="Times New Roman" w:cs="Times New Roman" w:hint="cs"/>
          <w:sz w:val="20"/>
          <w:szCs w:val="20"/>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ما بين المعقوفتين سقط من ج.</w:t>
      </w:r>
    </w:p>
  </w:footnote>
  <w:footnote w:id="20">
    <w:p w:rsidR="006E62CF" w:rsidRPr="00803138" w:rsidRDefault="006E62CF" w:rsidP="006E62CF">
      <w:pPr>
        <w:jc w:val="lowKashida"/>
        <w:rPr>
          <w:rFonts w:cs="Traditional Arabic" w:hint="cs"/>
          <w:b/>
          <w:bCs/>
          <w:sz w:val="28"/>
          <w:szCs w:val="28"/>
        </w:rPr>
      </w:pPr>
      <w:r w:rsidRPr="006E62CF">
        <w:rPr>
          <w:rFonts w:ascii="Times New Roman" w:eastAsia="Calibri" w:hAnsi="Times New Roman" w:cs="Times New Roman" w:hint="cs"/>
          <w:sz w:val="20"/>
          <w:szCs w:val="20"/>
          <w:rtl/>
        </w:rPr>
        <w:t>(</w:t>
      </w:r>
      <w:r w:rsidRPr="006E62CF">
        <w:rPr>
          <w:rFonts w:ascii="Times New Roman" w:eastAsia="Calibri" w:hAnsi="Times New Roman" w:cs="Times New Roman"/>
          <w:sz w:val="20"/>
          <w:szCs w:val="20"/>
        </w:rPr>
        <w:footnoteRef/>
      </w:r>
      <w:r w:rsidRPr="006E62CF">
        <w:rPr>
          <w:rFonts w:ascii="Times New Roman" w:eastAsia="Calibri" w:hAnsi="Times New Roman" w:cs="Times New Roman" w:hint="cs"/>
          <w:sz w:val="20"/>
          <w:szCs w:val="20"/>
          <w:rtl/>
        </w:rPr>
        <w:t>) النشر: 1/21</w:t>
      </w:r>
      <w:r w:rsidRPr="00803138">
        <w:rPr>
          <w:rFonts w:cs="Traditional Arabic" w:hint="cs"/>
          <w:b/>
          <w:bCs/>
          <w:sz w:val="28"/>
          <w:szCs w:val="28"/>
          <w:rtl/>
        </w:rP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CF"/>
    <w:rsid w:val="00525568"/>
    <w:rsid w:val="006E56FF"/>
    <w:rsid w:val="006E62CF"/>
    <w:rsid w:val="007F7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E62CF"/>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6E62CF"/>
    <w:rPr>
      <w:rFonts w:ascii="Times New Roman" w:eastAsia="Times New Roman" w:hAnsi="Times New Roman" w:cs="Simplified Arabic"/>
      <w:sz w:val="20"/>
      <w:szCs w:val="20"/>
      <w:lang w:bidi="ar-EG"/>
    </w:rPr>
  </w:style>
  <w:style w:type="paragraph" w:customStyle="1" w:styleId="CharCharCharCharCharCharCharCharChar">
    <w:name w:val=" Char Char Char Char Char Char Char Char Char"/>
    <w:basedOn w:val="a"/>
    <w:rsid w:val="006E62C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E62CF"/>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6E62CF"/>
    <w:rPr>
      <w:rFonts w:ascii="Times New Roman" w:eastAsia="Times New Roman" w:hAnsi="Times New Roman" w:cs="Simplified Arabic"/>
      <w:sz w:val="20"/>
      <w:szCs w:val="20"/>
      <w:lang w:bidi="ar-EG"/>
    </w:rPr>
  </w:style>
  <w:style w:type="paragraph" w:customStyle="1" w:styleId="CharCharCharCharCharCharCharCharChar">
    <w:name w:val=" Char Char Char Char Char Char Char Char Char"/>
    <w:basedOn w:val="a"/>
    <w:rsid w:val="006E62C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cp:revision>
  <dcterms:created xsi:type="dcterms:W3CDTF">2013-06-01T10:10:00Z</dcterms:created>
  <dcterms:modified xsi:type="dcterms:W3CDTF">2013-06-01T10:21:00Z</dcterms:modified>
</cp:coreProperties>
</file>