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2F6A02" w:rsidRDefault="002F6A02" w:rsidP="002F6A02">
      <w:pPr>
        <w:jc w:val="center"/>
        <w:rPr>
          <w:rFonts w:ascii="Calibri" w:eastAsia="Calibri" w:hAnsi="Calibri" w:cs="AGA Rasheeq Bold"/>
          <w:sz w:val="48"/>
          <w:szCs w:val="48"/>
          <w:rtl/>
        </w:rPr>
      </w:pPr>
      <w:r w:rsidRPr="002F6A02">
        <w:rPr>
          <w:rFonts w:ascii="Calibri" w:eastAsia="Calibri" w:hAnsi="Calibri" w:cs="AGA Rasheeq Bold" w:hint="cs"/>
          <w:sz w:val="48"/>
          <w:szCs w:val="48"/>
          <w:rtl/>
        </w:rPr>
        <w:t>أفضل الصحابة</w:t>
      </w:r>
    </w:p>
    <w:p w:rsidR="002F6A02" w:rsidRPr="00BB1330" w:rsidRDefault="002F6A02" w:rsidP="002F6A0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F6A02" w:rsidRDefault="002F6A02" w:rsidP="00275B96">
      <w:pPr>
        <w:pStyle w:val="Author"/>
        <w:bidi/>
        <w:rPr>
          <w:rFonts w:eastAsia="Times New Roman"/>
        </w:rPr>
      </w:pPr>
      <w:r>
        <w:rPr>
          <w:rFonts w:hint="cs"/>
          <w:i/>
          <w:iCs/>
          <w:rtl/>
        </w:rPr>
        <w:t xml:space="preserve">إعداد / </w:t>
      </w:r>
      <w:r w:rsidR="00275B96" w:rsidRPr="00275B96">
        <w:rPr>
          <w:rFonts w:hint="cs"/>
          <w:i/>
          <w:iCs/>
          <w:rtl/>
          <w:lang w:bidi="ar-EG"/>
        </w:rPr>
        <w:t>شادية بيومي حامد</w:t>
      </w:r>
    </w:p>
    <w:p w:rsidR="002F6A02" w:rsidRDefault="002F6A02" w:rsidP="002F6A02">
      <w:pPr>
        <w:pStyle w:val="Affiliation"/>
        <w:bidi/>
        <w:rPr>
          <w:rFonts w:eastAsia="Times New Roman"/>
        </w:rPr>
      </w:pPr>
      <w:r>
        <w:rPr>
          <w:rFonts w:hint="cs"/>
          <w:i/>
          <w:iCs/>
          <w:rtl/>
        </w:rPr>
        <w:t>قسم الدعوة وأصول الدين</w:t>
      </w:r>
    </w:p>
    <w:p w:rsidR="002F6A02" w:rsidRDefault="002F6A02" w:rsidP="002F6A0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F6A02" w:rsidRDefault="002F6A02" w:rsidP="002F6A02">
      <w:pPr>
        <w:pStyle w:val="Affiliation"/>
        <w:bidi/>
        <w:rPr>
          <w:rtl/>
        </w:rPr>
      </w:pPr>
      <w:r>
        <w:rPr>
          <w:rFonts w:hint="cs"/>
          <w:rtl/>
        </w:rPr>
        <w:t>شاه علم - ماليزيا</w:t>
      </w:r>
    </w:p>
    <w:p w:rsidR="002F6A02" w:rsidRDefault="00275B96" w:rsidP="002F6A02">
      <w:pPr>
        <w:spacing w:line="240" w:lineRule="auto"/>
        <w:jc w:val="center"/>
        <w:rPr>
          <w:rFonts w:asciiTheme="majorBidi" w:hAnsiTheme="majorBidi" w:cstheme="majorBidi"/>
          <w:b/>
          <w:bCs/>
          <w:sz w:val="18"/>
          <w:szCs w:val="18"/>
          <w:rtl/>
          <w:lang w:bidi="ar-EG"/>
        </w:rPr>
      </w:pPr>
      <w:r w:rsidRPr="00275B96">
        <w:rPr>
          <w:rFonts w:ascii="Times New Roman" w:eastAsia="SimSun" w:hAnsi="Times New Roman" w:cs="Times New Roman"/>
          <w:i/>
          <w:iCs/>
          <w:sz w:val="20"/>
          <w:szCs w:val="20"/>
          <w:lang w:eastAsia="zh-CN" w:bidi="ar-EG"/>
        </w:rPr>
        <w:t>shadia@mediu.ws</w:t>
      </w:r>
    </w:p>
    <w:p w:rsidR="002F6A02" w:rsidRDefault="002F6A02" w:rsidP="002F6A02">
      <w:pPr>
        <w:pStyle w:val="a3"/>
        <w:jc w:val="right"/>
        <w:rPr>
          <w:rFonts w:asciiTheme="majorBidi" w:hAnsiTheme="majorBidi" w:cstheme="majorBidi"/>
          <w:b/>
          <w:bCs/>
          <w:sz w:val="18"/>
          <w:szCs w:val="18"/>
          <w:rtl/>
        </w:rPr>
        <w:sectPr w:rsidR="002F6A02" w:rsidSect="007E639D">
          <w:pgSz w:w="11906" w:h="16838"/>
          <w:pgMar w:top="1440" w:right="1440" w:bottom="1440" w:left="1440" w:header="720" w:footer="720" w:gutter="0"/>
          <w:cols w:space="720"/>
          <w:bidi/>
          <w:rtlGutter/>
          <w:docGrid w:linePitch="360"/>
        </w:sectPr>
      </w:pPr>
    </w:p>
    <w:p w:rsidR="002F6A02" w:rsidRPr="002F6A02" w:rsidRDefault="002F6A02" w:rsidP="002F6A02">
      <w:pPr>
        <w:pStyle w:val="a3"/>
        <w:jc w:val="right"/>
        <w:rPr>
          <w:rFonts w:asciiTheme="majorBidi" w:hAnsiTheme="majorBidi" w:cstheme="majorBidi"/>
          <w:b/>
          <w:bCs/>
          <w:sz w:val="18"/>
          <w:szCs w:val="18"/>
          <w:rtl/>
          <w:lang w:bidi="ar-EG"/>
        </w:rPr>
      </w:pPr>
      <w:r w:rsidRPr="002F6A02">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أفضل الصحابة</w:t>
      </w:r>
      <w:r w:rsidRPr="002F6A02">
        <w:rPr>
          <w:rFonts w:asciiTheme="majorBidi" w:hAnsiTheme="majorBidi" w:cstheme="majorBidi"/>
          <w:b/>
          <w:bCs/>
          <w:sz w:val="18"/>
          <w:szCs w:val="18"/>
        </w:rPr>
        <w:br/>
      </w:r>
      <w:r w:rsidRPr="002F6A02">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الصحابة</w:t>
      </w:r>
      <w:r w:rsidRPr="002F6A02">
        <w:rPr>
          <w:rFonts w:asciiTheme="majorBidi" w:hAnsiTheme="majorBidi" w:cstheme="majorBidi"/>
          <w:b/>
          <w:bCs/>
          <w:sz w:val="18"/>
          <w:szCs w:val="18"/>
          <w:rtl/>
        </w:rPr>
        <w:t xml:space="preserve">، </w:t>
      </w:r>
      <w:r>
        <w:rPr>
          <w:rFonts w:asciiTheme="majorBidi" w:hAnsiTheme="majorBidi" w:cstheme="majorBidi" w:hint="cs"/>
          <w:b/>
          <w:bCs/>
          <w:sz w:val="18"/>
          <w:szCs w:val="18"/>
          <w:rtl/>
        </w:rPr>
        <w:t>أهل</w:t>
      </w:r>
      <w:r w:rsidRPr="002F6A02">
        <w:rPr>
          <w:rFonts w:asciiTheme="majorBidi" w:hAnsiTheme="majorBidi" w:cstheme="majorBidi"/>
          <w:b/>
          <w:bCs/>
          <w:sz w:val="18"/>
          <w:szCs w:val="18"/>
          <w:rtl/>
        </w:rPr>
        <w:t xml:space="preserve"> ، </w:t>
      </w:r>
      <w:r>
        <w:rPr>
          <w:rFonts w:asciiTheme="majorBidi" w:hAnsiTheme="majorBidi" w:cstheme="majorBidi" w:hint="cs"/>
          <w:b/>
          <w:bCs/>
          <w:sz w:val="18"/>
          <w:szCs w:val="18"/>
          <w:rtl/>
        </w:rPr>
        <w:t>الصلاة</w:t>
      </w:r>
      <w:r w:rsidRPr="002F6A02">
        <w:rPr>
          <w:rFonts w:asciiTheme="majorBidi" w:hAnsiTheme="majorBidi" w:cstheme="majorBidi"/>
          <w:b/>
          <w:bCs/>
          <w:sz w:val="18"/>
          <w:szCs w:val="18"/>
          <w:rtl/>
        </w:rPr>
        <w:t xml:space="preserve"> </w:t>
      </w:r>
    </w:p>
    <w:p w:rsidR="002F6A02" w:rsidRPr="002F6A02" w:rsidRDefault="002F6A02" w:rsidP="002F6A02">
      <w:pPr>
        <w:pStyle w:val="a3"/>
        <w:jc w:val="center"/>
        <w:rPr>
          <w:rFonts w:asciiTheme="majorBidi" w:hAnsiTheme="majorBidi" w:cstheme="majorBidi"/>
          <w:b/>
          <w:bCs/>
          <w:sz w:val="18"/>
          <w:szCs w:val="18"/>
          <w:lang w:bidi="ar-EG"/>
        </w:rPr>
      </w:pPr>
      <w:r w:rsidRPr="002F6A02">
        <w:rPr>
          <w:rFonts w:asciiTheme="majorBidi" w:hAnsiTheme="majorBidi" w:cstheme="majorBidi"/>
          <w:b/>
          <w:bCs/>
          <w:sz w:val="18"/>
          <w:szCs w:val="18"/>
          <w:rtl/>
        </w:rPr>
        <w:t>المقدمة</w:t>
      </w:r>
      <w:r w:rsidRPr="002F6A02">
        <w:rPr>
          <w:rFonts w:asciiTheme="majorBidi" w:hAnsiTheme="majorBidi" w:cstheme="majorBidi"/>
          <w:b/>
          <w:bCs/>
          <w:sz w:val="18"/>
          <w:szCs w:val="18"/>
          <w:lang w:bidi="ar-EG"/>
        </w:rPr>
        <w:t>.I</w:t>
      </w:r>
    </w:p>
    <w:p w:rsidR="002F6A02" w:rsidRPr="002F6A02" w:rsidRDefault="002F6A02" w:rsidP="002F6A02">
      <w:pPr>
        <w:pStyle w:val="a3"/>
        <w:jc w:val="right"/>
        <w:rPr>
          <w:rFonts w:asciiTheme="majorBidi" w:hAnsiTheme="majorBidi" w:cstheme="majorBidi"/>
          <w:b/>
          <w:bCs/>
          <w:sz w:val="18"/>
          <w:szCs w:val="18"/>
          <w:rtl/>
          <w:lang w:bidi="ar-EG"/>
        </w:rPr>
      </w:pPr>
      <w:r w:rsidRPr="002F6A02">
        <w:rPr>
          <w:rFonts w:asciiTheme="majorBidi" w:hAnsiTheme="majorBidi" w:cstheme="majorBidi"/>
          <w:b/>
          <w:bCs/>
          <w:sz w:val="18"/>
          <w:szCs w:val="18"/>
        </w:rPr>
        <w:br/>
      </w:r>
      <w:r w:rsidRPr="002F6A0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أفضل الصحابة</w:t>
      </w:r>
    </w:p>
    <w:p w:rsidR="002F6A02" w:rsidRPr="002F6A02" w:rsidRDefault="002F6A02" w:rsidP="002F6A02">
      <w:pPr>
        <w:pStyle w:val="a3"/>
        <w:jc w:val="center"/>
        <w:rPr>
          <w:rFonts w:asciiTheme="majorBidi" w:hAnsiTheme="majorBidi" w:cstheme="majorBidi"/>
          <w:b/>
          <w:bCs/>
          <w:sz w:val="18"/>
          <w:szCs w:val="18"/>
        </w:rPr>
      </w:pPr>
      <w:r w:rsidRPr="002F6A02">
        <w:rPr>
          <w:rFonts w:asciiTheme="majorBidi" w:hAnsiTheme="majorBidi" w:cstheme="majorBidi"/>
          <w:b/>
          <w:bCs/>
          <w:sz w:val="18"/>
          <w:szCs w:val="18"/>
        </w:rPr>
        <w:br/>
      </w:r>
      <w:r w:rsidRPr="002F6A02">
        <w:rPr>
          <w:rFonts w:asciiTheme="majorBidi" w:hAnsiTheme="majorBidi" w:cstheme="majorBidi"/>
          <w:b/>
          <w:bCs/>
          <w:sz w:val="18"/>
          <w:szCs w:val="18"/>
          <w:rtl/>
        </w:rPr>
        <w:t>.عنوان المقال</w:t>
      </w:r>
      <w:r w:rsidRPr="002F6A02">
        <w:rPr>
          <w:rFonts w:asciiTheme="majorBidi" w:hAnsiTheme="majorBidi" w:cstheme="majorBidi"/>
          <w:b/>
          <w:bCs/>
          <w:sz w:val="18"/>
          <w:szCs w:val="18"/>
        </w:rPr>
        <w:t>II</w:t>
      </w:r>
    </w:p>
    <w:p w:rsidR="002F6A02" w:rsidRPr="002F6A02" w:rsidRDefault="002F6A02" w:rsidP="002F6A02">
      <w:pPr>
        <w:pStyle w:val="a3"/>
        <w:bidi/>
        <w:spacing w:before="0" w:beforeAutospacing="0" w:after="120" w:afterAutospacing="0"/>
        <w:jc w:val="lowKashida"/>
        <w:rPr>
          <w:rFonts w:asciiTheme="majorBidi" w:hAnsiTheme="majorBidi" w:cstheme="majorBidi"/>
          <w:b/>
          <w:bCs/>
          <w:sz w:val="18"/>
          <w:szCs w:val="18"/>
        </w:rPr>
      </w:pPr>
      <w:r w:rsidRPr="002F6A02">
        <w:rPr>
          <w:rFonts w:asciiTheme="majorBidi" w:hAnsiTheme="majorBidi" w:cstheme="majorBidi"/>
          <w:b/>
          <w:bCs/>
          <w:sz w:val="18"/>
          <w:szCs w:val="18"/>
          <w:rtl/>
        </w:rPr>
        <w:t xml:space="preserve">وينبغي أن نتعرض لبيان أفضل الصحابة؛ لأن بعض المسانيد قد رتبت الصحابةَ بناء على أفضليتهم، وأفضلهم مطلقًا بإجماع أهل السنة أبو بكر الصديق </w:t>
      </w:r>
      <w:r w:rsidRPr="002F6A02">
        <w:rPr>
          <w:rFonts w:asciiTheme="majorBidi" w:hAnsiTheme="majorBidi" w:cstheme="majorBidi"/>
          <w:b/>
          <w:bCs/>
          <w:position w:val="-4"/>
          <w:sz w:val="18"/>
          <w:szCs w:val="18"/>
          <w:rtl/>
        </w:rPr>
        <w:t>&gt;</w:t>
      </w:r>
      <w:r w:rsidRPr="002F6A02">
        <w:rPr>
          <w:rFonts w:asciiTheme="majorBidi" w:hAnsiTheme="majorBidi" w:cstheme="majorBidi"/>
          <w:b/>
          <w:bCs/>
          <w:sz w:val="18"/>
          <w:szCs w:val="18"/>
          <w:rtl/>
        </w:rPr>
        <w:t xml:space="preserve"> خليفة رسول الله  بل هو أفضل الناس بعد الأنبياء -عليهم الصلاة والتسليم- وقيل له: الصديق؛ لمبادرته إلى تصديق رسول الله قبل الناس كلهم، ثم بعده عمر بن الخطاب، ثم عثمان بن عفان، ثم علي بن أبي طالب </w:t>
      </w:r>
      <w:r w:rsidRPr="002F6A02">
        <w:rPr>
          <w:rFonts w:asciiTheme="majorBidi" w:hAnsiTheme="majorBidi" w:cstheme="majorBidi"/>
          <w:b/>
          <w:bCs/>
          <w:position w:val="-4"/>
          <w:sz w:val="18"/>
          <w:szCs w:val="18"/>
          <w:rtl/>
        </w:rPr>
        <w:t>}</w:t>
      </w:r>
      <w:r w:rsidRPr="002F6A02">
        <w:rPr>
          <w:rFonts w:asciiTheme="majorBidi" w:hAnsiTheme="majorBidi" w:cstheme="majorBidi"/>
          <w:b/>
          <w:bCs/>
          <w:sz w:val="18"/>
          <w:szCs w:val="18"/>
          <w:rtl/>
        </w:rPr>
        <w:t xml:space="preserve"> ترتيبهم في الفضل كترتيبهم في الخلافة، ثم الستة الباقون من تمام العشرة المبشرين بالجنة، ثم أهل بدر، ثم أهل أحد، ثم أهل بيعة الرضوان يوم الحديبية، ومنهم من لهم ميزة فضل على غيرهم وهم السابقون الأولون من المهاجرين والأنصار. </w:t>
      </w:r>
    </w:p>
    <w:p w:rsidR="002F6A02" w:rsidRPr="002F6A02" w:rsidRDefault="002F6A02" w:rsidP="002F6A02">
      <w:pPr>
        <w:pStyle w:val="a3"/>
        <w:bidi/>
        <w:spacing w:before="0" w:beforeAutospacing="0" w:after="120" w:afterAutospacing="0"/>
        <w:jc w:val="lowKashida"/>
        <w:rPr>
          <w:rFonts w:asciiTheme="majorBidi" w:hAnsiTheme="majorBidi" w:cstheme="majorBidi"/>
          <w:b/>
          <w:bCs/>
          <w:sz w:val="18"/>
          <w:szCs w:val="18"/>
          <w:rtl/>
        </w:rPr>
      </w:pPr>
      <w:r w:rsidRPr="002F6A02">
        <w:rPr>
          <w:rFonts w:asciiTheme="majorBidi" w:hAnsiTheme="majorBidi" w:cstheme="majorBidi"/>
          <w:b/>
          <w:bCs/>
          <w:sz w:val="18"/>
          <w:szCs w:val="18"/>
          <w:rtl/>
        </w:rPr>
        <w:t>واختلف في المراد بهم على أربعة أقوال؛ فقيل: هم أهل بيعة الرضوان، وهو قول الشعبي، وقيل: هم الذين صلوا إلى القبلتين، وقيل: هم أهل بدر، وقيل: هم الذين أسلموا قبل فتح مكة، وهو قول الحسن البصري.</w:t>
      </w:r>
    </w:p>
    <w:p w:rsidR="002F6A02" w:rsidRPr="002F6A02" w:rsidRDefault="002F6A02" w:rsidP="002F6A02">
      <w:pPr>
        <w:pStyle w:val="a4"/>
        <w:spacing w:line="240" w:lineRule="auto"/>
        <w:ind w:left="373"/>
        <w:jc w:val="center"/>
        <w:rPr>
          <w:rFonts w:asciiTheme="majorBidi" w:hAnsiTheme="majorBidi" w:cstheme="majorBidi"/>
          <w:b/>
          <w:bCs/>
          <w:sz w:val="18"/>
          <w:szCs w:val="18"/>
          <w:rtl/>
        </w:rPr>
      </w:pPr>
      <w:r w:rsidRPr="002F6A02">
        <w:rPr>
          <w:rFonts w:asciiTheme="majorBidi" w:hAnsiTheme="majorBidi" w:cstheme="majorBidi"/>
          <w:b/>
          <w:bCs/>
          <w:sz w:val="18"/>
          <w:szCs w:val="18"/>
          <w:rtl/>
        </w:rPr>
        <w:t>المراجع والمصادر</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(علم رجال الحديث) </w:t>
      </w:r>
    </w:p>
    <w:p w:rsidR="002F6A02" w:rsidRPr="002F6A02" w:rsidRDefault="002F6A02" w:rsidP="002F6A02">
      <w:pPr>
        <w:spacing w:after="120" w:line="240" w:lineRule="auto"/>
        <w:ind w:left="227" w:firstLine="283"/>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تقي الدين الندوي المظاهري، المدينة المنورة، مكتبة الإيمان، 1987م.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rPr>
      </w:pPr>
      <w:r w:rsidRPr="002F6A02">
        <w:rPr>
          <w:rFonts w:asciiTheme="majorBidi" w:hAnsiTheme="majorBidi" w:cstheme="majorBidi"/>
          <w:b/>
          <w:bCs/>
          <w:sz w:val="18"/>
          <w:szCs w:val="18"/>
          <w:rtl/>
          <w:lang w:bidi="ar-EG"/>
        </w:rPr>
        <w:t xml:space="preserve">(علم الرجال وأهميته) </w:t>
      </w:r>
    </w:p>
    <w:p w:rsidR="002F6A02" w:rsidRPr="002F6A02" w:rsidRDefault="002F6A02" w:rsidP="002F6A02">
      <w:pPr>
        <w:spacing w:after="120" w:line="240" w:lineRule="auto"/>
        <w:ind w:left="510"/>
        <w:jc w:val="lowKashida"/>
        <w:rPr>
          <w:rFonts w:asciiTheme="majorBidi" w:hAnsiTheme="majorBidi" w:cstheme="majorBidi"/>
          <w:b/>
          <w:bCs/>
          <w:sz w:val="18"/>
          <w:szCs w:val="18"/>
          <w:rtl/>
        </w:rPr>
      </w:pPr>
      <w:r w:rsidRPr="002F6A02">
        <w:rPr>
          <w:rFonts w:asciiTheme="majorBidi" w:hAnsiTheme="majorBidi" w:cstheme="majorBidi"/>
          <w:b/>
          <w:bCs/>
          <w:sz w:val="18"/>
          <w:szCs w:val="18"/>
          <w:rtl/>
          <w:lang w:bidi="ar-EG"/>
        </w:rPr>
        <w:t>عبد الرحمن بن يحيى المعلمي اليماني, دار الراية للنشر والتوزيع, 1417هـ.</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(علم طبقات المحدثين: أهميته وفوائده) </w:t>
      </w:r>
    </w:p>
    <w:p w:rsidR="002F6A02" w:rsidRPr="002F6A02" w:rsidRDefault="002F6A02" w:rsidP="002F6A02">
      <w:pPr>
        <w:spacing w:after="120" w:line="240" w:lineRule="auto"/>
        <w:ind w:left="227" w:firstLine="283"/>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أسعد سالم يتم، مكتبة الرشد, 1994م.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(تاريخ خليفة بن خياط) </w:t>
      </w:r>
    </w:p>
    <w:p w:rsidR="002F6A02" w:rsidRPr="002F6A02" w:rsidRDefault="002F6A02" w:rsidP="002F6A02">
      <w:pPr>
        <w:spacing w:after="120" w:line="240" w:lineRule="auto"/>
        <w:ind w:left="510"/>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lastRenderedPageBreak/>
        <w:t>خليفة بن خياط الشيباني، تحقيق: أكرم ضياء العمري, بيروت، مؤسسة الرسالة, 1977م.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(الطبقات) </w:t>
      </w:r>
    </w:p>
    <w:p w:rsidR="002F6A02" w:rsidRPr="002F6A02" w:rsidRDefault="002F6A02" w:rsidP="002F6A02">
      <w:pPr>
        <w:spacing w:after="120" w:line="240" w:lineRule="auto"/>
        <w:ind w:left="227" w:firstLine="283"/>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خليفة بن خياط الشيباني، الرياض، دار طيبة،1982م.</w:t>
      </w:r>
    </w:p>
    <w:p w:rsidR="002F6A02" w:rsidRPr="002F6A02" w:rsidRDefault="002F6A02" w:rsidP="002F6A02">
      <w:pPr>
        <w:numPr>
          <w:ilvl w:val="0"/>
          <w:numId w:val="1"/>
        </w:numPr>
        <w:spacing w:after="120" w:line="240" w:lineRule="auto"/>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(التاريخ الكبير) </w:t>
      </w:r>
    </w:p>
    <w:p w:rsidR="002F6A02" w:rsidRPr="002F6A02" w:rsidRDefault="002F6A02" w:rsidP="002F6A02">
      <w:pPr>
        <w:spacing w:after="120" w:line="240" w:lineRule="auto"/>
        <w:ind w:left="510"/>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عبد الله بن اسماعيل بن ابراهيم البخاري، بيروت، دار الكتب العلمية، 1884م.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(الجرح والتعديل) </w:t>
      </w:r>
    </w:p>
    <w:p w:rsidR="002F6A02" w:rsidRPr="002F6A02" w:rsidRDefault="002F6A02" w:rsidP="002F6A02">
      <w:pPr>
        <w:spacing w:after="120" w:line="240" w:lineRule="auto"/>
        <w:ind w:left="510"/>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(مناهج المحدِّثين في</w:t>
      </w:r>
      <w:r w:rsidRPr="002F6A02">
        <w:rPr>
          <w:rFonts w:asciiTheme="majorBidi" w:hAnsiTheme="majorBidi" w:cstheme="majorBidi"/>
          <w:b/>
          <w:bCs/>
          <w:sz w:val="18"/>
          <w:szCs w:val="18"/>
          <w:lang w:bidi="ar-EG"/>
        </w:rPr>
        <w:t xml:space="preserve"> </w:t>
      </w:r>
      <w:r w:rsidRPr="002F6A02">
        <w:rPr>
          <w:rFonts w:asciiTheme="majorBidi" w:hAnsiTheme="majorBidi" w:cstheme="majorBidi"/>
          <w:b/>
          <w:bCs/>
          <w:sz w:val="18"/>
          <w:szCs w:val="18"/>
          <w:rtl/>
          <w:lang w:bidi="ar-EG"/>
        </w:rPr>
        <w:t xml:space="preserve">رواية الحديث بالمعنى) </w:t>
      </w:r>
    </w:p>
    <w:p w:rsidR="002F6A02" w:rsidRPr="002F6A02" w:rsidRDefault="002F6A02" w:rsidP="002F6A02">
      <w:pPr>
        <w:spacing w:after="120" w:line="240" w:lineRule="auto"/>
        <w:ind w:left="510"/>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عبد الرزاق بن خليفة الشايجي، بيروت، دار ابن حزم للطباعة والنشر، 1419هـ.</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(الضوء اللامع المبين عن مناهج المحدثين) </w:t>
      </w:r>
    </w:p>
    <w:p w:rsidR="002F6A02" w:rsidRPr="002F6A02" w:rsidRDefault="002F6A02" w:rsidP="002F6A02">
      <w:pPr>
        <w:spacing w:after="120" w:line="240" w:lineRule="auto"/>
        <w:ind w:left="227" w:firstLine="283"/>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أحمد محرم الشيخ ناجي, مطبعة الصفا والمروة, 2001م.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(من روى عن أبيه عن جده) </w:t>
      </w:r>
    </w:p>
    <w:p w:rsidR="002F6A02" w:rsidRPr="002F6A02" w:rsidRDefault="002F6A02" w:rsidP="002F6A02">
      <w:pPr>
        <w:spacing w:after="120" w:line="240" w:lineRule="auto"/>
        <w:ind w:left="510"/>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(الرواة من الأخوة والأخوات) </w:t>
      </w:r>
    </w:p>
    <w:p w:rsidR="002F6A02" w:rsidRPr="002F6A02" w:rsidRDefault="002F6A02" w:rsidP="002F6A02">
      <w:pPr>
        <w:spacing w:after="120" w:line="240" w:lineRule="auto"/>
        <w:ind w:left="510"/>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(الكنى والأسماء) </w:t>
      </w:r>
    </w:p>
    <w:p w:rsidR="002F6A02" w:rsidRPr="002F6A02" w:rsidRDefault="002F6A02" w:rsidP="002F6A02">
      <w:pPr>
        <w:spacing w:after="120" w:line="240" w:lineRule="auto"/>
        <w:ind w:left="227" w:firstLine="283"/>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محمد بن أحمد الدولابي،حيدر آباد، دائرة المعارف النظامية، 1322هـ.</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(طبقات الحنابلة) </w:t>
      </w:r>
    </w:p>
    <w:p w:rsidR="002F6A02" w:rsidRPr="002F6A02" w:rsidRDefault="002F6A02" w:rsidP="002F6A02">
      <w:pPr>
        <w:spacing w:after="120" w:line="240" w:lineRule="auto"/>
        <w:ind w:left="510"/>
        <w:jc w:val="lowKashida"/>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محمد بن محمد بن الحسين البغدادي أبو يعلى</w:t>
      </w:r>
      <w:r w:rsidRPr="002F6A02">
        <w:rPr>
          <w:rFonts w:asciiTheme="majorBidi" w:hAnsiTheme="majorBidi" w:cstheme="majorBidi"/>
          <w:b/>
          <w:bCs/>
          <w:sz w:val="18"/>
          <w:szCs w:val="18"/>
          <w:lang w:bidi="ar-EG"/>
        </w:rPr>
        <w:t xml:space="preserve"> </w:t>
      </w:r>
      <w:r w:rsidRPr="002F6A02">
        <w:rPr>
          <w:rFonts w:asciiTheme="majorBidi" w:hAnsiTheme="majorBidi" w:cstheme="majorBidi"/>
          <w:b/>
          <w:bCs/>
          <w:sz w:val="18"/>
          <w:szCs w:val="18"/>
          <w:rtl/>
          <w:lang w:bidi="ar-EG"/>
        </w:rPr>
        <w:t>الحنبلي، مطبعة السّنة المحمدية، 1371هـ.</w:t>
      </w:r>
    </w:p>
    <w:p w:rsidR="002F6A02" w:rsidRPr="002F6A02" w:rsidRDefault="002F6A02" w:rsidP="002F6A02">
      <w:pPr>
        <w:numPr>
          <w:ilvl w:val="0"/>
          <w:numId w:val="1"/>
        </w:numPr>
        <w:spacing w:after="120" w:line="240" w:lineRule="auto"/>
        <w:jc w:val="lowKashida"/>
        <w:rPr>
          <w:rFonts w:asciiTheme="majorBidi" w:hAnsiTheme="majorBidi" w:cstheme="majorBidi"/>
          <w:b/>
          <w:bCs/>
          <w:sz w:val="18"/>
          <w:szCs w:val="18"/>
          <w:lang w:bidi="ar-EG"/>
        </w:rPr>
      </w:pPr>
      <w:r w:rsidRPr="002F6A02">
        <w:rPr>
          <w:rFonts w:asciiTheme="majorBidi" w:hAnsiTheme="majorBidi" w:cstheme="majorBidi"/>
          <w:b/>
          <w:bCs/>
          <w:sz w:val="18"/>
          <w:szCs w:val="18"/>
          <w:rtl/>
          <w:lang w:bidi="ar-EG"/>
        </w:rPr>
        <w:t xml:space="preserve">(الطبقات الكبرى) </w:t>
      </w:r>
    </w:p>
    <w:p w:rsidR="002F6A02" w:rsidRPr="002F6A02" w:rsidRDefault="002F6A02" w:rsidP="002F6A02">
      <w:pPr>
        <w:pStyle w:val="a4"/>
        <w:spacing w:line="240" w:lineRule="auto"/>
        <w:ind w:left="373" w:firstLine="193"/>
        <w:rPr>
          <w:rFonts w:asciiTheme="majorBidi" w:hAnsiTheme="majorBidi" w:cstheme="majorBidi"/>
          <w:b/>
          <w:bCs/>
          <w:sz w:val="18"/>
          <w:szCs w:val="18"/>
          <w:rtl/>
          <w:lang w:bidi="ar-EG"/>
        </w:rPr>
      </w:pPr>
      <w:r w:rsidRPr="002F6A02">
        <w:rPr>
          <w:rFonts w:asciiTheme="majorBidi" w:hAnsiTheme="majorBidi" w:cstheme="majorBidi"/>
          <w:b/>
          <w:bCs/>
          <w:sz w:val="18"/>
          <w:szCs w:val="18"/>
          <w:rtl/>
          <w:lang w:bidi="ar-EG"/>
        </w:rPr>
        <w:t>ابن سعد محمد بن سعد، تحقيق: إحسان عباس، دار بيروت للطباعة والنشر، 1405هـ.</w:t>
      </w:r>
    </w:p>
    <w:p w:rsidR="002F6A02" w:rsidRDefault="002F6A02" w:rsidP="002F6A02">
      <w:pPr>
        <w:rPr>
          <w:rtl/>
          <w:lang w:bidi="ar-EG"/>
        </w:rPr>
        <w:sectPr w:rsidR="002F6A02" w:rsidSect="002F6A02">
          <w:type w:val="continuous"/>
          <w:pgSz w:w="11906" w:h="16838"/>
          <w:pgMar w:top="1440" w:right="1440" w:bottom="1440" w:left="1440" w:header="720" w:footer="720" w:gutter="0"/>
          <w:cols w:num="2" w:space="720"/>
          <w:bidi/>
          <w:rtlGutter/>
          <w:docGrid w:linePitch="360"/>
        </w:sectPr>
      </w:pPr>
    </w:p>
    <w:p w:rsidR="002F6A02" w:rsidRDefault="002F6A02" w:rsidP="002F6A02">
      <w:pPr>
        <w:rPr>
          <w:lang w:bidi="ar-EG"/>
        </w:rPr>
      </w:pPr>
    </w:p>
    <w:sectPr w:rsidR="002F6A02" w:rsidSect="002F6A0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6A02"/>
    <w:rsid w:val="00275B96"/>
    <w:rsid w:val="002F6A02"/>
    <w:rsid w:val="00752D19"/>
    <w:rsid w:val="007E639D"/>
    <w:rsid w:val="008008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F6A0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F6A0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F6A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6A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2013-06-13T18:36:00Z</dcterms:created>
  <dcterms:modified xsi:type="dcterms:W3CDTF">2013-06-16T11:56:00Z</dcterms:modified>
</cp:coreProperties>
</file>