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C3" w:rsidRDefault="008C4467" w:rsidP="008C4467">
      <w:pPr>
        <w:spacing w:line="240" w:lineRule="auto"/>
        <w:jc w:val="center"/>
        <w:rPr>
          <w:rFonts w:asciiTheme="majorBidi" w:hAnsiTheme="majorBidi" w:cstheme="majorBidi" w:hint="cs"/>
          <w:b/>
          <w:bCs/>
          <w:sz w:val="48"/>
          <w:szCs w:val="48"/>
          <w:rtl/>
        </w:rPr>
      </w:pPr>
      <w:r w:rsidRPr="008C4467">
        <w:rPr>
          <w:rFonts w:asciiTheme="majorBidi" w:eastAsia="Calibri" w:hAnsiTheme="majorBidi" w:cstheme="majorBidi"/>
          <w:b/>
          <w:bCs/>
          <w:sz w:val="48"/>
          <w:szCs w:val="48"/>
          <w:rtl/>
        </w:rPr>
        <w:t>تطور القراءات وانتشارها</w:t>
      </w:r>
    </w:p>
    <w:p w:rsidR="008C4467" w:rsidRPr="00F7753E" w:rsidRDefault="008C4467" w:rsidP="008C4467">
      <w:pPr>
        <w:spacing w:after="0" w:line="240" w:lineRule="auto"/>
        <w:jc w:val="center"/>
        <w:rPr>
          <w:rFonts w:asciiTheme="majorBidi" w:eastAsia="Calibri" w:hAnsiTheme="majorBidi" w:cstheme="majorBidi"/>
          <w:sz w:val="18"/>
          <w:szCs w:val="18"/>
          <w:rtl/>
          <w:lang w:bidi="ar-EG"/>
        </w:rPr>
      </w:pPr>
      <w:r w:rsidRPr="00F7753E">
        <w:rPr>
          <w:rFonts w:asciiTheme="majorBidi" w:hAnsiTheme="majorBidi" w:cstheme="majorBidi"/>
          <w:sz w:val="18"/>
          <w:szCs w:val="18"/>
          <w:rtl/>
        </w:rPr>
        <w:t xml:space="preserve">بحث فى </w:t>
      </w:r>
      <w:r w:rsidRPr="00F7753E">
        <w:rPr>
          <w:rFonts w:asciiTheme="majorBidi" w:hAnsiTheme="majorBidi" w:cstheme="majorBidi" w:hint="cs"/>
          <w:sz w:val="18"/>
          <w:szCs w:val="18"/>
          <w:rtl/>
        </w:rPr>
        <w:t xml:space="preserve">علم </w:t>
      </w:r>
      <w:r w:rsidRPr="00F7753E">
        <w:rPr>
          <w:rFonts w:asciiTheme="majorBidi" w:eastAsia="Calibri" w:hAnsiTheme="majorBidi" w:cstheme="majorBidi" w:hint="cs"/>
          <w:sz w:val="18"/>
          <w:szCs w:val="18"/>
          <w:rtl/>
          <w:lang w:bidi="ar-EG"/>
        </w:rPr>
        <w:t>القراءات الشاذه</w:t>
      </w:r>
    </w:p>
    <w:p w:rsidR="008C4467" w:rsidRPr="00426F7E" w:rsidRDefault="008C4467" w:rsidP="008C4467">
      <w:pPr>
        <w:spacing w:after="0" w:line="240" w:lineRule="auto"/>
        <w:jc w:val="center"/>
        <w:rPr>
          <w:rFonts w:asciiTheme="majorBidi" w:eastAsia="Times New Roman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إعداد / أحمد محمد سمير</w:t>
      </w:r>
    </w:p>
    <w:p w:rsidR="008C4467" w:rsidRPr="00426F7E" w:rsidRDefault="008C4467" w:rsidP="008C4467">
      <w:pPr>
        <w:spacing w:after="0" w:line="240" w:lineRule="auto"/>
        <w:jc w:val="center"/>
        <w:rPr>
          <w:rFonts w:asciiTheme="majorBidi" w:eastAsia="Times New Roman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قسم الدعوة وأصول الدين</w:t>
      </w:r>
    </w:p>
    <w:p w:rsidR="008C4467" w:rsidRPr="00426F7E" w:rsidRDefault="008C4467" w:rsidP="008C4467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كلية العلوم الإسلامية – جامعة المدينة العالمية</w:t>
      </w:r>
    </w:p>
    <w:p w:rsidR="008C4467" w:rsidRPr="00426F7E" w:rsidRDefault="008C4467" w:rsidP="008C4467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  <w:rtl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شاه علم - ماليزيا</w:t>
      </w:r>
    </w:p>
    <w:p w:rsidR="008C4467" w:rsidRDefault="008C4467" w:rsidP="008C4467">
      <w:pPr>
        <w:tabs>
          <w:tab w:val="left" w:pos="4050"/>
        </w:tabs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hyperlink r:id="rId7" w:history="1">
        <w:r w:rsidRPr="00DE0243">
          <w:rPr>
            <w:rStyle w:val="Hyperlink"/>
            <w:rFonts w:asciiTheme="majorBidi" w:hAnsiTheme="majorBidi" w:cstheme="majorBidi"/>
            <w:b/>
            <w:bCs/>
            <w:sz w:val="18"/>
            <w:szCs w:val="18"/>
            <w:lang w:bidi="ar-EG"/>
          </w:rPr>
          <w:t>Ahmedmsamir54@gmail.com</w:t>
        </w:r>
      </w:hyperlink>
    </w:p>
    <w:p w:rsidR="008C4467" w:rsidRPr="00426F7E" w:rsidRDefault="008C4467" w:rsidP="008C4467">
      <w:pPr>
        <w:tabs>
          <w:tab w:val="left" w:pos="4050"/>
        </w:tabs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</w:p>
    <w:p w:rsidR="008C4467" w:rsidRDefault="008C4467" w:rsidP="008C446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  <w:sectPr w:rsidR="008C4467" w:rsidSect="008C4467">
          <w:headerReference w:type="even" r:id="rId8"/>
          <w:pgSz w:w="11906" w:h="16838" w:code="9"/>
          <w:pgMar w:top="851" w:right="1274" w:bottom="1135" w:left="709" w:header="720" w:footer="720" w:gutter="0"/>
          <w:cols w:space="720"/>
          <w:titlePg/>
          <w:bidi/>
          <w:rtlGutter/>
          <w:docGrid w:linePitch="360"/>
        </w:sectPr>
      </w:pPr>
    </w:p>
    <w:p w:rsidR="008C4467" w:rsidRPr="008C4467" w:rsidRDefault="008C4467" w:rsidP="008C4467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18"/>
          <w:szCs w:val="18"/>
          <w:rtl/>
        </w:rPr>
      </w:pPr>
      <w:r w:rsidRPr="008C4467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 w:rsidRPr="008C4467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تطور القراءات وانتشارها</w:t>
      </w:r>
    </w:p>
    <w:p w:rsidR="008C4467" w:rsidRPr="008C4467" w:rsidRDefault="008C4467" w:rsidP="008C4467">
      <w:pPr>
        <w:spacing w:after="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</w:p>
    <w:p w:rsidR="008C4467" w:rsidRPr="008C4467" w:rsidRDefault="008C4467" w:rsidP="008C4467">
      <w:pPr>
        <w:spacing w:before="60" w:after="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8C4467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 w:rsidRPr="008C4467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تطور، القراءات، انتشارها</w:t>
      </w:r>
    </w:p>
    <w:p w:rsidR="008C4467" w:rsidRPr="008C4467" w:rsidRDefault="008C4467" w:rsidP="008C4467">
      <w:pPr>
        <w:numPr>
          <w:ilvl w:val="0"/>
          <w:numId w:val="2"/>
        </w:numPr>
        <w:spacing w:before="60" w:after="0" w:line="240" w:lineRule="auto"/>
        <w:ind w:left="64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8C4467">
        <w:rPr>
          <w:rFonts w:asciiTheme="majorBidi" w:hAnsiTheme="majorBidi" w:cstheme="majorBidi"/>
          <w:b/>
          <w:bCs/>
          <w:sz w:val="18"/>
          <w:szCs w:val="18"/>
          <w:rtl/>
        </w:rPr>
        <w:t>.المقدمة</w:t>
      </w:r>
    </w:p>
    <w:p w:rsidR="008C4467" w:rsidRPr="008C4467" w:rsidRDefault="008C4467" w:rsidP="008C4467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18"/>
          <w:szCs w:val="18"/>
          <w:rtl/>
        </w:rPr>
      </w:pPr>
      <w:r w:rsidRPr="008C446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8C4467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تطور القراءات وانتشارها</w:t>
      </w:r>
    </w:p>
    <w:p w:rsidR="008C4467" w:rsidRPr="008C4467" w:rsidRDefault="008C4467" w:rsidP="008C4467">
      <w:pPr>
        <w:spacing w:before="60" w:after="0"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8C4467" w:rsidRPr="008C4467" w:rsidRDefault="008C4467" w:rsidP="008C4467">
      <w:pPr>
        <w:numPr>
          <w:ilvl w:val="0"/>
          <w:numId w:val="3"/>
        </w:numPr>
        <w:spacing w:after="0" w:line="240" w:lineRule="auto"/>
        <w:ind w:left="733" w:hanging="90"/>
        <w:jc w:val="center"/>
        <w:rPr>
          <w:rFonts w:asciiTheme="majorBidi" w:hAnsiTheme="majorBidi" w:cstheme="majorBidi" w:hint="cs"/>
          <w:b/>
          <w:bCs/>
          <w:sz w:val="18"/>
          <w:szCs w:val="18"/>
          <w:rtl/>
        </w:rPr>
      </w:pPr>
      <w:r w:rsidRPr="008C4467">
        <w:rPr>
          <w:rFonts w:asciiTheme="majorBidi" w:hAnsiTheme="majorBidi" w:cstheme="majorBidi"/>
          <w:b/>
          <w:bCs/>
          <w:sz w:val="18"/>
          <w:szCs w:val="18"/>
          <w:rtl/>
        </w:rPr>
        <w:t>.عنوان المقال</w:t>
      </w:r>
    </w:p>
    <w:p w:rsidR="008C4467" w:rsidRPr="008C4467" w:rsidRDefault="008C4467" w:rsidP="008C4467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نقل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الصحابة الذين تلقوا القرآن عن النبي وجوه القراءات عنه أيضًا، فحفظوها، وضبطوها،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وعرضوها عليه،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ثم أقرءوها جمهور المسلمين،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وأسلموها إلى التابعين الذين لم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يكونوا أقل منهم حماسة، أو دأب</w:t>
      </w:r>
      <w:r w:rsidRPr="008C4467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ا إلا أن جهودهم فيها كانت تأتي في غمرة اطلاعهم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بالتفسير، والفقه، والفرائض، وغيرها من علوم الشريعة، حتى إذا حل القرن الثاني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للهجرة وجدنا رجالًا أكفياء يخفون هذه الوجوه، وينصرفون إلى ضبطها، وحفظ إسنادها،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ويضعون الشروط الواجب توافرها في حامل القراءة، فإذا هم أعلام بها، وإذا هي بهم علم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مستقل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8C4467" w:rsidRPr="008C4467" w:rsidRDefault="008C4467" w:rsidP="008C4467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قال أبو عبيدة: ثم قام من بعدهم </w:t>
      </w:r>
      <w:r w:rsidRPr="008C4467">
        <w:rPr>
          <w:rFonts w:ascii="Simplified Arabic" w:hAnsi="Simplified Arabic" w:cs="Traditional Arabic" w:hint="cs"/>
          <w:b/>
          <w:bCs/>
          <w:sz w:val="18"/>
          <w:szCs w:val="18"/>
          <w:rtl/>
        </w:rPr>
        <w:t>-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يريد الصحابة والتابعين</w:t>
      </w:r>
      <w:r w:rsidRPr="008C4467">
        <w:rPr>
          <w:rFonts w:ascii="Simplified Arabic" w:hAnsi="Simplified Arabic" w:cs="Traditional Arabic" w:hint="cs"/>
          <w:b/>
          <w:bCs/>
          <w:sz w:val="18"/>
          <w:szCs w:val="18"/>
          <w:rtl/>
        </w:rPr>
        <w:t>-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بالقرآن قوم ليست لهم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أسنان من ذكرنا، ولا قدمه، غير أنهم تجردوا في القراءة، فاشتد بها عنايتهم، حتى صاروا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بذلك أئمة، يأخذون الناس عنهم، ويقتدون بهم، وفيهم خمسة عشر رجلًا من هذه الأمصار، في كل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مصر منهم ثلاثة رجال، فكان بالمدينة أبو جعفر، ثم شيبة بن نصاح، ثم نافع، وإليه صارت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قراءة أهل المدينة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C4467" w:rsidRPr="008C4467" w:rsidRDefault="008C4467" w:rsidP="008C4467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وكان من قراء مكة عبد الله بن كثير، وحميد بن قيس الأعرج، ومحمد بن محيصن، وأقدمهم ابن كثير، وإليه صارت قراءة مكة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C4467" w:rsidRPr="008C4467" w:rsidRDefault="008C4467" w:rsidP="008C4467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وكان بالكوفة يحيى بن وثاب، وعاصم،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والأعمش، ثم تلاهم حمزة رابعًا، والكسائي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C4467" w:rsidRPr="008C4467" w:rsidRDefault="008C4467" w:rsidP="008C4467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وكان من قراء البصرة عبد الله بن أبي إسحاق،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وأبو عمرو بن العلاء، وعيسى بن عمر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C4467" w:rsidRPr="008C4467" w:rsidRDefault="008C4467" w:rsidP="008C4467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ومن قراء الشام عبد الله بن عامر اليحصبي، ويحيى بن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الحارث الزماري، والثالث قد سم</w:t>
      </w:r>
      <w:r w:rsidRPr="008C4467">
        <w:rPr>
          <w:rFonts w:ascii="Simplified Arabic" w:hAnsi="Simplified Arabic" w:cs="AL-Hotham" w:hint="cs"/>
          <w:b/>
          <w:bCs/>
          <w:sz w:val="18"/>
          <w:szCs w:val="18"/>
          <w:rtl/>
        </w:rPr>
        <w:t>ي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لي بالشام، ونسيت اسمه، هكذا قال المؤرخ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C4467" w:rsidRPr="008C4467" w:rsidRDefault="008C4467" w:rsidP="008C4467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وخلاصة القول،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نقول: تاريخ الشذوذ: كانت القراءات في عهد النبي، وأبي بكر نبعًا، فرا يلبي حاجة ماسة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عند القبائل، ويقع من نفوس أهلها مواقع حسنة، ويقفون جميعًا على أساليب القرآن ولغته،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ولكن كثرت هذه القراءات فيما بعد، ولا سيما في عهد سيدنا عثمان، </w:t>
      </w:r>
      <w:r w:rsidRPr="008C4467">
        <w:rPr>
          <w:rFonts w:ascii="Simplified Arabic" w:hAnsi="Simplified Arabic" w:cs="AL-Hotham" w:hint="cs"/>
          <w:b/>
          <w:bCs/>
          <w:sz w:val="18"/>
          <w:szCs w:val="18"/>
          <w:rtl/>
        </w:rPr>
        <w:t>و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أخذ</w:t>
      </w:r>
      <w:r w:rsidRPr="008C4467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ت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يسير في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منحى يناقض مسوغ وجودها، ويثير من المخاوف ما لا يمكن درؤه إلا بإجراء اجتهادي يحفظ للقرآن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قدسيته، وللمسلمين وحدة الكلمة، فوحد عثمان المصاحف، وجعلها على رسم واحد، وترك خارج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مصحفه ما لم يجمع عليه من القراءات، ولم تكن القراءات الموافقة لرسمه على درجة واحدة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من ال</w:t>
      </w:r>
      <w:r w:rsidRPr="008C4467">
        <w:rPr>
          <w:rFonts w:ascii="Simplified Arabic" w:hAnsi="Simplified Arabic" w:cs="AL-Hotham" w:hint="cs"/>
          <w:b/>
          <w:bCs/>
          <w:sz w:val="18"/>
          <w:szCs w:val="18"/>
          <w:rtl/>
        </w:rPr>
        <w:t>ذ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يوع والانتشار؛ وذلك تبعًا لعدد الذين يحملون القراءة،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ودرجة عدالتهم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وتوثيقهم، وقد دفع هذا العلماء إلى الاختيار الذي قاد بالضرورة إلى ترك بعض القراءات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التي لا تناسب قناعتهم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C4467" w:rsidRPr="008C4467" w:rsidRDefault="008C4467" w:rsidP="008C4467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ولقد تطورت هذه الاختيارات فيما بعد إلى مقاييس محددة؛ وذلك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بفعل اللحن الذي أخذ يسكبه الأعاجم في وجوه القراءات، والتخليط في الأسانيد الذي وقع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فيه بعض الضعفاء المشاركين في الفن، مما دفع أولي الأمر، والغيرة إلى الانعطاف بالفن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إلى الكتابة، والتدوين، والتماس العون في ضبط القراءات من علوم العربية، إلا أن هذه الجهود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لم تكن متناسقة، بل فردية ذاتية،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يلفها التعدد والاختلاف؛ إذ كان كل مقياس يصحح بعض القراءات، ويترك بعض</w:t>
      </w:r>
      <w:r w:rsidRPr="008C4467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ا، فكثر لديهم المتروك، واختلفوا فيه إلى أن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كانت النهاية عند ابن الجزري الذي ضبط حدود المتروك منها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C4467" w:rsidRPr="008C4467" w:rsidRDefault="008C4467" w:rsidP="008C4467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ولعل غايتنا في هذا المقام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هي: تحديد ما تركته الاختيارات، والمقاييس من قراءات حتى القرن الرابع، وبيان حركة التشذيذ، والتطوير التي صارت عليه القراءات المتروكة؛ بغية الوصول إلى تحديد المادة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القرآنية التي يقوم عليها البحث النحوي وغيره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C4467" w:rsidRPr="008C4467" w:rsidRDefault="008C4467" w:rsidP="008C4467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ولنقل هنا: ما خرج على شرط أبي بكر </w:t>
      </w:r>
      <w:r w:rsidRPr="008C4467">
        <w:rPr>
          <w:rFonts w:cs="SC_ALYERMOOK" w:hint="cs"/>
          <w:b/>
          <w:bCs/>
          <w:position w:val="-4"/>
          <w:sz w:val="18"/>
          <w:szCs w:val="18"/>
          <w:rtl/>
        </w:rPr>
        <w:t>&gt;</w:t>
      </w:r>
      <w:r w:rsidRPr="008C4467">
        <w:rPr>
          <w:rFonts w:ascii="Simplified Arabic" w:hAnsi="Simplified Arabic" w:cs="AL-Hotham" w:hint="cs"/>
          <w:b/>
          <w:bCs/>
          <w:sz w:val="18"/>
          <w:szCs w:val="18"/>
          <w:rtl/>
        </w:rPr>
        <w:t>: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من المعروف أن أبا بكر قال لعمر بن الخطاب، وزيد بن ثابت عندما وكل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إليهما جمع القرآن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اقعدا على باب المسجد، فمن جاءكما بشاهدين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lastRenderedPageBreak/>
        <w:t>على شيء من كتاب الله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فاكتباه، ويراد بالشاهدين هنا على أفضل الأقوال: من يشهدان بتلقيها سماع</w:t>
      </w:r>
      <w:r w:rsidRPr="008C4467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ا عن النبي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AGA Arabesque" w:hAnsi="AGA Arabesque" w:cs="Simplified Arabic"/>
          <w:b/>
          <w:bCs/>
          <w:position w:val="-4"/>
          <w:sz w:val="18"/>
          <w:szCs w:val="18"/>
          <w:lang w:bidi="ar-EG"/>
        </w:rPr>
        <w:t>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فخرج على شرطه آيتان من سورة التوبة،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انفرد بنقلهما خزيمة الأنصاري،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فشفع له في قبول زيد لها جعل النبي فيما مضى شهادته بشهادتين، وحفظ زيد نفسه والصحابة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لها، في حين أن آية الرجم وهي قوله تعالى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لا ترغبوا عن آبائكم فإن ذلك كقربكم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الشيخ والشيخة إذا زنيا فرجمهما البتة نكال</w:t>
      </w:r>
      <w:r w:rsidRPr="008C4467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ا من الله والله عزيز حكيم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، لم يقبلها زيد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من عمر بن الخطاب؛ لأنه كان وحده، ولا توصية بشهادته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C4467" w:rsidRPr="008C4467" w:rsidRDefault="008C4467" w:rsidP="008C4467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إن هذه الآية تعد مما شذ عن شرط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أبي بكر في جمعه للقرآن، فهي ليست منسوخة كما يرى بعضهم؛ لأن النسخ لا يكون بعد وفاة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النبي </w:t>
      </w:r>
      <w:r w:rsidRPr="008C4467">
        <w:rPr>
          <w:rFonts w:ascii="AGA Arabesque" w:hAnsi="AGA Arabesque" w:cs="Simplified Arabic"/>
          <w:b/>
          <w:bCs/>
          <w:position w:val="-4"/>
          <w:sz w:val="18"/>
          <w:szCs w:val="18"/>
        </w:rPr>
        <w:t>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وبقاؤها مع عمر في عهد أبي بكر دليل على ذلك، يقوي هذا قول عمر المعلل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فيها: لولا أن تقول الناس: زاد في كتاب الله لكتبتها، ويقويها أيضًا النسخ كما هو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معروف رفع حكم شرعي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بدليل شرعي، وهذه الآية لم يتوفر لها صفة الحكم المشهور، ولا دليل النسخ المقطوع به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حتى نعدها مما نسخ، كما أننا لا نقول بدرسها، كما أن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معظم كتب النسخ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قد احتفلت بها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C4467" w:rsidRPr="008C4467" w:rsidRDefault="008C4467" w:rsidP="008C4467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ولعل خير ما قيل فيها: إنها سنة، فهذا القول يقربها من الحروف المخالفة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المأثورة عن الصحابة، ولا سيما أنها تقترب في أسلوبها منها، على أن مقياس أبي بكر </w:t>
      </w:r>
      <w:r w:rsidRPr="008C4467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كما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هو واضح</w:t>
      </w:r>
      <w:r w:rsidRPr="008C4467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أن يترك أثرًا ذا بال في تاريخ الشذوذ، وذلك باختصار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آثاره على آية الرجم؛ ولأن العلماء لم يصلوا إلى حل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حاسم فيها، ولأن غاية أبي بكر أيضًا كانت تهدف أساسًا إلى تدوين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القرآن الكريم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C4467" w:rsidRPr="008C4467" w:rsidRDefault="008C4467" w:rsidP="008C4467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ما خرج على شرط عثمان </w:t>
      </w:r>
      <w:r w:rsidRPr="008C4467">
        <w:rPr>
          <w:rFonts w:cs="SC_ALYERMOOK" w:hint="cs"/>
          <w:b/>
          <w:bCs/>
          <w:position w:val="-4"/>
          <w:sz w:val="18"/>
          <w:szCs w:val="18"/>
          <w:rtl/>
        </w:rPr>
        <w:t>&gt;</w:t>
      </w:r>
      <w:r w:rsidRPr="008C4467">
        <w:rPr>
          <w:rFonts w:ascii="Simplified Arabic" w:hAnsi="Simplified Arabic" w:cs="AL-Hotham" w:hint="cs"/>
          <w:b/>
          <w:bCs/>
          <w:sz w:val="18"/>
          <w:szCs w:val="18"/>
          <w:rtl/>
        </w:rPr>
        <w:t>: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يعد صنيع عثمان في توحيده مصاحف الأمة على رسم واحد،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وحرقه مصاحف الصحابة العتيقة الخطوة الحقيقة الأولى في تاريخ المقاييس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فقد أبعد عثمان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cs="SC_ALYERMOOK" w:hint="cs"/>
          <w:b/>
          <w:bCs/>
          <w:position w:val="-4"/>
          <w:sz w:val="18"/>
          <w:szCs w:val="18"/>
          <w:rtl/>
        </w:rPr>
        <w:t>&gt;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عن القرآن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المسلمين عددًا من الروايات التي لم يستفض نقلها عن النبي </w:t>
      </w:r>
      <w:r w:rsidRPr="008C4467">
        <w:rPr>
          <w:rFonts w:ascii="AGA Arabesque" w:hAnsi="AGA Arabesque" w:cs="Simplified Arabic"/>
          <w:b/>
          <w:bCs/>
          <w:position w:val="-4"/>
          <w:sz w:val="18"/>
          <w:szCs w:val="18"/>
        </w:rPr>
        <w:t>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وأعلن بطلان العمل بها، وسارع إلى تطبيق ذلك؛ إذ أرسل إلى كل مصر قارئ</w:t>
      </w:r>
      <w:r w:rsidRPr="008C4467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ا تتفق قراءته،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والنسخة التي أرسلت إليه. فكان زيد بن ثابت مقرئ المصحف المدني، وعبد الله بن السائب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مقرئ المصحف المكي، والمغيرة بن الشهاب مقرئ الشامي، وعبد الرحمن السلمي مقرئ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الكوفي، وعامر بن عبد القيس مقرئ البصري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C4467" w:rsidRPr="008C4467" w:rsidRDefault="008C4467" w:rsidP="008C4467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لقد أصبح منذ هذا الحين رسم عثمان شرطًا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أساسيًّا من شروط صحة القراءة، فكل قراءة لا توافق هذا الرسم تبقى خارج المصحف، أما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الرسم مصطلح</w:t>
      </w:r>
      <w:r w:rsidRPr="008C4467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ا: هو الوضع الذي ارتضاه عثمان في كتابة القرآن وحروفه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C4467" w:rsidRPr="008C4467" w:rsidRDefault="008C4467" w:rsidP="008C4467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pacing w:val="4"/>
          <w:sz w:val="18"/>
          <w:szCs w:val="18"/>
          <w:lang w:bidi="ar-EG"/>
        </w:rPr>
      </w:pP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بقي خارج حدود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عثمان عدد من الحروف التي تتميز عما في نسخه بالزيادة، كقراءة ابن مسعود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ولقد أرس</w:t>
      </w:r>
      <w:r w:rsidRPr="008C4467">
        <w:rPr>
          <w:rFonts w:ascii="Simplified Arabic" w:hAnsi="Simplified Arabic" w:cs="AL-Hotham" w:hint="cs"/>
          <w:b/>
          <w:bCs/>
          <w:sz w:val="18"/>
          <w:szCs w:val="18"/>
          <w:rtl/>
        </w:rPr>
        <w:t>ل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نا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نوح</w:t>
      </w:r>
      <w:r w:rsidRPr="008C4467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ا إلى قومه فقال يا قوم إني لكم نذير مبين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بزيادة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فقال يا قوم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، أو بالنقصان كترك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على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في قراءة ابن عباس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يا حسرة العباد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، أو باختلاف لفظة، كقراءة ابن مسعود</w:t>
      </w:r>
      <w:r w:rsidRPr="008C4467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: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ولا تنقصو</w:t>
      </w:r>
      <w:r w:rsidRPr="008C4467">
        <w:rPr>
          <w:rFonts w:ascii="Simplified Arabic" w:hAnsi="Simplified Arabic" w:cs="AL-Hotham" w:hint="cs"/>
          <w:b/>
          <w:bCs/>
          <w:sz w:val="18"/>
          <w:szCs w:val="18"/>
          <w:rtl/>
        </w:rPr>
        <w:t>ن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ه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بدل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ولا تضرونه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، أو أكثر من لفظة، كقراءة أنس بن مالك</w:t>
      </w:r>
      <w:r w:rsidRPr="008C4467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: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ولا تقربوا النساء في المحيض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واعتزلوهن حتى يطهرن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، وهي في نسخ عثمان</w:t>
      </w:r>
      <w:r w:rsidRPr="008C4467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: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8C4467">
        <w:rPr>
          <w:rFonts w:ascii="QCF_P035" w:hAnsi="QCF_P035" w:cs="QCF_P035"/>
          <w:b/>
          <w:bCs/>
          <w:sz w:val="18"/>
          <w:szCs w:val="18"/>
          <w:rtl/>
        </w:rPr>
        <w:t>ﮧ ﮨ ﮩ ﮪ ﮫ ﮬ ﮭ ﮮ ﮯ</w:t>
      </w:r>
      <w:r w:rsidRPr="008C4467">
        <w:rPr>
          <w:rFonts w:ascii="QCF_P035" w:hAnsi="QCF_P035" w:cs="DecoType Thuluth"/>
          <w:b/>
          <w:bCs/>
          <w:sz w:val="18"/>
          <w:szCs w:val="18"/>
          <w:rtl/>
        </w:rPr>
        <w:t>}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البقرة: 222]،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وقد يكون الاختلاف طفيفًا لا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يتجاوز حرفًا واحدًا، كقراءة أبي</w:t>
      </w:r>
      <w:r w:rsidRPr="008C4467">
        <w:rPr>
          <w:rFonts w:ascii="Simplified Arabic" w:hAnsi="Simplified Arabic" w:cs="AL-Hotham" w:hint="cs"/>
          <w:b/>
          <w:bCs/>
          <w:spacing w:val="4"/>
          <w:sz w:val="18"/>
          <w:szCs w:val="18"/>
          <w:rtl/>
          <w:lang w:bidi="ar-EG"/>
        </w:rPr>
        <w:t>:</w:t>
      </w:r>
      <w:r w:rsidRPr="008C4467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DecoType Thuluth"/>
          <w:b/>
          <w:bCs/>
          <w:spacing w:val="4"/>
          <w:sz w:val="18"/>
          <w:szCs w:val="18"/>
          <w:rtl/>
        </w:rPr>
        <w:t>{</w:t>
      </w:r>
      <w:r w:rsidRPr="008C4467">
        <w:rPr>
          <w:rFonts w:ascii="QCF_P041" w:hAnsi="QCF_P041" w:cs="QCF_P041"/>
          <w:b/>
          <w:bCs/>
          <w:spacing w:val="4"/>
          <w:sz w:val="18"/>
          <w:szCs w:val="18"/>
          <w:rtl/>
        </w:rPr>
        <w:t>ﭪ ﭫ ﭬ ﭭ</w:t>
      </w:r>
      <w:r w:rsidRPr="008C4467">
        <w:rPr>
          <w:rFonts w:ascii="QCF_P041" w:hAnsi="QCF_P041" w:cs="DecoType Thuluth"/>
          <w:b/>
          <w:bCs/>
          <w:spacing w:val="4"/>
          <w:sz w:val="18"/>
          <w:szCs w:val="18"/>
          <w:rtl/>
        </w:rPr>
        <w:t>}</w:t>
      </w:r>
      <w:r w:rsidRPr="008C4467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 xml:space="preserve"> [البقرة: 249]</w:t>
      </w:r>
      <w:r w:rsidRPr="008C4467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برفع</w:t>
      </w:r>
      <w:r w:rsidRPr="008C4467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"</w:t>
      </w:r>
      <w:r w:rsidRPr="008C4467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قليل</w:t>
      </w:r>
      <w:r w:rsidRPr="008C4467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>"</w:t>
      </w:r>
      <w:r w:rsidRPr="008C4467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، وتنوينها</w:t>
      </w:r>
      <w:r w:rsidRPr="008C4467">
        <w:rPr>
          <w:rFonts w:ascii="Simplified Arabic" w:hAnsi="Simplified Arabic" w:cs="AL-Hotham" w:hint="cs"/>
          <w:b/>
          <w:bCs/>
          <w:spacing w:val="4"/>
          <w:sz w:val="18"/>
          <w:szCs w:val="18"/>
          <w:rtl/>
          <w:lang w:bidi="ar-EG"/>
        </w:rPr>
        <w:t>:</w:t>
      </w:r>
      <w:r w:rsidRPr="008C4467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"</w:t>
      </w:r>
      <w:r w:rsidRPr="008C4467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فشربوا منه</w:t>
      </w:r>
      <w:r w:rsidRPr="008C4467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إلا قليلٌ</w:t>
      </w:r>
      <w:r w:rsidRPr="008C4467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>"</w:t>
      </w:r>
      <w:r w:rsidRPr="008C4467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، وهي في نسخ عثمان</w:t>
      </w:r>
      <w:r w:rsidRPr="008C4467">
        <w:rPr>
          <w:rFonts w:ascii="Simplified Arabic" w:hAnsi="Simplified Arabic" w:cs="AL-Hotham" w:hint="cs"/>
          <w:b/>
          <w:bCs/>
          <w:spacing w:val="4"/>
          <w:sz w:val="18"/>
          <w:szCs w:val="18"/>
          <w:rtl/>
          <w:lang w:bidi="ar-EG"/>
        </w:rPr>
        <w:t>:</w:t>
      </w:r>
      <w:r w:rsidRPr="008C4467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DecoType Thuluth"/>
          <w:b/>
          <w:bCs/>
          <w:spacing w:val="4"/>
          <w:sz w:val="18"/>
          <w:szCs w:val="18"/>
          <w:rtl/>
          <w:lang w:bidi="ar-EG"/>
        </w:rPr>
        <w:t>{</w:t>
      </w:r>
      <w:r w:rsidRPr="008C4467">
        <w:rPr>
          <w:rFonts w:ascii="QCF_P041" w:hAnsi="QCF_P041" w:cs="QCF_P041"/>
          <w:b/>
          <w:bCs/>
          <w:spacing w:val="4"/>
          <w:sz w:val="18"/>
          <w:szCs w:val="18"/>
          <w:rtl/>
        </w:rPr>
        <w:t>ﭬ ﭭ</w:t>
      </w:r>
      <w:r w:rsidRPr="008C4467">
        <w:rPr>
          <w:rFonts w:ascii="QCF_P041" w:hAnsi="QCF_P041" w:cs="DecoType Thuluth"/>
          <w:b/>
          <w:bCs/>
          <w:spacing w:val="4"/>
          <w:sz w:val="18"/>
          <w:szCs w:val="18"/>
          <w:rtl/>
        </w:rPr>
        <w:t>}</w:t>
      </w:r>
      <w:r w:rsidRPr="008C4467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[</w:t>
      </w:r>
      <w:r w:rsidRPr="008C4467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البقرة: 249].</w:t>
      </w:r>
    </w:p>
    <w:p w:rsidR="008C4467" w:rsidRPr="008C4467" w:rsidRDefault="008C4467" w:rsidP="008C4467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لقد جاء معظم هذه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الحروف في مصحف ابن مسعود؛ لعدم شهوده العرضة الأخيرة، وفي مصحف أبي بن كعب الذي لم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يشأ </w:t>
      </w:r>
      <w:r w:rsidRPr="008C4467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كما تذكر المصادر</w:t>
      </w:r>
      <w:r w:rsidRPr="008C4467">
        <w:rPr>
          <w:rFonts w:ascii="Simplified Arabic" w:hAnsi="Simplified Arabic" w:cs="Traditional Arabic" w:hint="cs"/>
          <w:b/>
          <w:bCs/>
          <w:sz w:val="18"/>
          <w:szCs w:val="18"/>
          <w:rtl/>
        </w:rPr>
        <w:t>-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أن يتخلى عما سمعه بنفسه من النبي، كما جاء بعضها في مصاحف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الصحابة الآخرين الذين عنوا أحيانًا بتفسير بعض الألفاظ، أو الأحكام، وأثبتوا ذلك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كتابة، ولا يمكن ههنا أن ننسب بعض هذه الحروف إلى مصاحف التابعين، أو المتأخرين، كما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فعل ابن أبي داود السجستاني؛ لأننا لا نميل إلى وجود مصاحف خاصة بهم على المعنى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الاصطلاحي؛ وذلك لأن معظم ما نقل عن هؤلاء من حروف يطابق ما روي عن مصاحف الصحابة؛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ولأن من البعيد أن يتجاوز هؤلاء المتأخرون إجماع الأمة</w:t>
      </w:r>
      <w:r w:rsidRPr="008C4467">
        <w:rPr>
          <w:rFonts w:ascii="Simplified Arabic" w:hAnsi="Simplified Arabic" w:cs="AL-Hotham" w:hint="cs"/>
          <w:b/>
          <w:bCs/>
          <w:sz w:val="18"/>
          <w:szCs w:val="18"/>
          <w:rtl/>
        </w:rPr>
        <w:t>؛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فيكتبو</w:t>
      </w:r>
      <w:r w:rsidRPr="008C4467">
        <w:rPr>
          <w:rFonts w:ascii="Simplified Arabic" w:hAnsi="Simplified Arabic" w:cs="AL-Hotham" w:hint="cs"/>
          <w:b/>
          <w:bCs/>
          <w:sz w:val="18"/>
          <w:szCs w:val="18"/>
          <w:rtl/>
        </w:rPr>
        <w:t>ن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لأنفسهم مصاحف بعد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أن أحرق عثمان مثلها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C4467" w:rsidRPr="008C4467" w:rsidRDefault="008C4467" w:rsidP="008C4467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ومما يمكن قوله: هو أن هؤلاء التابعين كانوا يرون هذه الأحرف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رواية؛ لتمسكهم بها، فقد كان عاصم الجحدري يروي حروفًا منها عن النبي، وأبي بكر، ولكنه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إذا كتبها كتبها على ما يوافق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lastRenderedPageBreak/>
        <w:t>رسم عثمان، فهو يكتب مع الجمهور</w:t>
      </w:r>
      <w:r w:rsidRPr="008C4467">
        <w:rPr>
          <w:rFonts w:ascii="Simplified Arabic" w:hAnsi="Simplified Arabic" w:cs="AL-Hotham" w:hint="cs"/>
          <w:b/>
          <w:bCs/>
          <w:sz w:val="18"/>
          <w:szCs w:val="18"/>
          <w:rtl/>
        </w:rPr>
        <w:t>: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المقيمين، والصابئون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، ويقرؤهما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المقيمون</w:t>
      </w:r>
      <w:r w:rsidRPr="008C4467">
        <w:rPr>
          <w:rFonts w:ascii="Simplified Arabic" w:hAnsi="Simplified Arabic" w:cs="AL-Hotham" w:hint="cs"/>
          <w:b/>
          <w:bCs/>
          <w:sz w:val="18"/>
          <w:szCs w:val="18"/>
          <w:rtl/>
        </w:rPr>
        <w:t>،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والصابئين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، كما رواهما، ولعل ابن أبي داود السجستاني كان يريد من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مصاحف التابعين مجموعة الحروف التي اختص بروايتها، ونقلها كل واحد منهم، فيكون بذلك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للمصحف ما كان لمعنى جمع القرآن من مؤدى مجازي مجرد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C4467" w:rsidRPr="008C4467" w:rsidRDefault="008C4467" w:rsidP="008C4467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وقد رأينا ابن خالويه في كتابه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(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المختصر في شواذ القرآن</w:t>
      </w:r>
      <w:r w:rsidRPr="008C4467">
        <w:rPr>
          <w:rFonts w:ascii="Simplified Arabic" w:hAnsi="Simplified Arabic" w:cs="AL-Hotham" w:hint="cs"/>
          <w:b/>
          <w:bCs/>
          <w:sz w:val="18"/>
          <w:szCs w:val="18"/>
          <w:rtl/>
        </w:rPr>
        <w:t>)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يقول عن قراءة الأعمش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وجعلوا الملائكة الذين هم عباد</w:t>
      </w:r>
      <w:r w:rsidRPr="008C4467">
        <w:rPr>
          <w:rFonts w:ascii="Simplified Arabic" w:hAnsi="Simplified Arabic" w:cs="AL-Hotham" w:hint="cs"/>
          <w:b/>
          <w:bCs/>
          <w:sz w:val="18"/>
          <w:szCs w:val="18"/>
          <w:rtl/>
        </w:rPr>
        <w:t>َ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الرحمن إناث</w:t>
      </w:r>
      <w:r w:rsidRPr="008C4467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ا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بنصب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عباد، وهي في مصحف ابن مسعود كذلك، وينسب قراءة</w:t>
      </w:r>
      <w:r w:rsidRPr="008C4467">
        <w:rPr>
          <w:rFonts w:ascii="Simplified Arabic" w:hAnsi="Simplified Arabic" w:cs="AL-Hotham" w:hint="cs"/>
          <w:b/>
          <w:bCs/>
          <w:sz w:val="18"/>
          <w:szCs w:val="18"/>
          <w:rtl/>
        </w:rPr>
        <w:t>: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ما ي</w:t>
      </w:r>
      <w:r w:rsidRPr="008C4467">
        <w:rPr>
          <w:rFonts w:ascii="Simplified Arabic" w:hAnsi="Simplified Arabic" w:cs="AL-Hotham" w:hint="cs"/>
          <w:b/>
          <w:bCs/>
          <w:sz w:val="18"/>
          <w:szCs w:val="18"/>
          <w:rtl/>
        </w:rPr>
        <w:t>ُ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ل</w:t>
      </w:r>
      <w:r w:rsidRPr="008C4467">
        <w:rPr>
          <w:rFonts w:ascii="Simplified Arabic" w:hAnsi="Simplified Arabic" w:cs="AL-Hotham" w:hint="cs"/>
          <w:b/>
          <w:bCs/>
          <w:sz w:val="18"/>
          <w:szCs w:val="18"/>
          <w:rtl/>
        </w:rPr>
        <w:t>ْ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ف</w:t>
      </w:r>
      <w:r w:rsidRPr="008C4467">
        <w:rPr>
          <w:rFonts w:ascii="Simplified Arabic" w:hAnsi="Simplified Arabic" w:cs="AL-Hotham" w:hint="cs"/>
          <w:b/>
          <w:bCs/>
          <w:sz w:val="18"/>
          <w:szCs w:val="18"/>
          <w:rtl/>
        </w:rPr>
        <w:t>َ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ظ</w:t>
      </w:r>
      <w:r w:rsidRPr="008C4467">
        <w:rPr>
          <w:rFonts w:ascii="Simplified Arabic" w:hAnsi="Simplified Arabic" w:cs="AL-Hotham" w:hint="cs"/>
          <w:b/>
          <w:bCs/>
          <w:sz w:val="18"/>
          <w:szCs w:val="18"/>
          <w:rtl/>
        </w:rPr>
        <w:t>ُ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من قول إلا لديه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ببناء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يلفظ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للمجهول إلى بعض المصاحف عن ابن مسعود، مع أنه لا اختلاف في الرسم بين مصحف عثمان،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ومصحف ابن مسعود في هاتين القراءتين، وهذا يدل على أن المصحف يراد به ههنا القراءة،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لا المعنى الاصطلاحي، كمدونات الصحابة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C4467" w:rsidRPr="008C4467" w:rsidRDefault="008C4467" w:rsidP="008C4467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pacing w:val="-4"/>
          <w:sz w:val="18"/>
          <w:szCs w:val="18"/>
          <w:lang w:bidi="ar-EG"/>
        </w:rPr>
      </w:pP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ولعل في هذا التفسير ما ينحو أيضًا بمسألة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المصاحف القديمة منحى التضييق، والحصر، لا منح</w:t>
      </w:r>
      <w:r w:rsidRPr="008C4467">
        <w:rPr>
          <w:rFonts w:ascii="Simplified Arabic" w:hAnsi="Simplified Arabic" w:cs="AL-Hotham" w:hint="cs"/>
          <w:b/>
          <w:bCs/>
          <w:sz w:val="18"/>
          <w:szCs w:val="18"/>
          <w:rtl/>
        </w:rPr>
        <w:t>ى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التفخيم، وإثارة الهول، كما فعل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المستشرق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أثري جفري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، على أن القراءة بهذه الحروف لم تتوقف لدى عدد من القراء على الرغم من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القرار العثماني الصريح، وإجماع المسلمين عليه. فقد ظلت طائفة من الناس متمسكة به،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ومقتنعة تمامًا بأن ما صح عن النبي </w:t>
      </w:r>
      <w:r w:rsidRPr="008C4467">
        <w:rPr>
          <w:rFonts w:ascii="AGA Arabesque" w:hAnsi="AGA Arabesque" w:cs="Simplified Arabic"/>
          <w:b/>
          <w:bCs/>
          <w:position w:val="-4"/>
          <w:sz w:val="18"/>
          <w:szCs w:val="18"/>
        </w:rPr>
        <w:t>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لا يمكن تجاهله. قال مكي: وبذلك تمادى بعض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الناس على القراءة بما يخالف خط المصحف مما ثبت نحوه. لقد استمر عدد من التابعين،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وبعض الناس القراءة بهذه الحروف أمثال: عبيد بن عمير الليثي، والأسود بن يزيد، وسعد بن جبير، ومجاهد بن جبر، وعطاء بن أبي رباح، والأعمش، وابن أبي عبلة، ونعيم بن ميسرة، وكان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بعضهم يثبت </w:t>
      </w:r>
      <w:r w:rsidRPr="008C4467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هذه القراءات في أثناء المصاحف العامة، ويميزها بلون نقط مخالف، كأن</w:t>
      </w:r>
      <w:r w:rsidRPr="008C4467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ينقطها بالخضرة، أو بالحمرة، إذا جعل الخضرة بالقراءة المشهورة</w:t>
      </w:r>
      <w:r w:rsidRPr="008C4467">
        <w:rPr>
          <w:rFonts w:ascii="Simplified Arabic" w:hAnsi="Simplified Arabic" w:cs="AL-Hotham" w:hint="cs"/>
          <w:b/>
          <w:bCs/>
          <w:spacing w:val="-4"/>
          <w:sz w:val="18"/>
          <w:szCs w:val="18"/>
          <w:rtl/>
        </w:rPr>
        <w:t>؛</w:t>
      </w:r>
      <w:r w:rsidRPr="008C4467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 xml:space="preserve"> مما أثار حفيظة</w:t>
      </w:r>
      <w:r w:rsidRPr="008C4467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العلماء، وجعلهم ينظرون إليها شذرًا بعد أن كانت موضع خلاف وحسم، فبادروا إلى وضع التصانيف في رسم المصاحف في ألا يكون في هذه الحروف مجال لمستزيد</w:t>
      </w:r>
      <w:r w:rsidRPr="008C4467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.</w:t>
      </w:r>
    </w:p>
    <w:p w:rsidR="008C4467" w:rsidRPr="008C4467" w:rsidRDefault="008C4467" w:rsidP="008C4467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من الغريب أن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يستنكر صاحب (الموسوعة القرآنية</w:t>
      </w:r>
      <w:r w:rsidRPr="008C4467">
        <w:rPr>
          <w:rFonts w:ascii="Simplified Arabic" w:hAnsi="Simplified Arabic" w:cs="AL-Hotham" w:hint="cs"/>
          <w:b/>
          <w:bCs/>
          <w:sz w:val="18"/>
          <w:szCs w:val="18"/>
          <w:rtl/>
        </w:rPr>
        <w:t>)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وضع هذه التصانيف بدعوى إثارتها المشكلات المندثرة،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مع أنها هي التي أسهمت في تحديد هذه المخالفات، وضبطها، وتسجيلها، ودفعت بالمشكلة نحو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الحل، والحسم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C4467" w:rsidRPr="008C4467" w:rsidRDefault="008C4467" w:rsidP="008C4467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</w:pP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لقد احتاجت هذه الحروف إلى ثلاثة قرون حتى أسدل الستار عليها، فقد كانت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في صدورهم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متمكنة، وعقولهم راسخة قوية، ولم يكن الحسم فيها إلا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بالضرب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، فقد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 w:hint="cs"/>
          <w:b/>
          <w:bCs/>
          <w:sz w:val="18"/>
          <w:szCs w:val="18"/>
          <w:rtl/>
        </w:rPr>
        <w:t>ضر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ب آخر حملتها المدعين إليها ابن شنبوذ سبع درر على مشهد من العلماء، وأولي الأمر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حتى رجع عنها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C4467" w:rsidRPr="008C4467" w:rsidRDefault="008C4467" w:rsidP="008C4467">
      <w:pPr>
        <w:pStyle w:val="NormalWeb"/>
        <w:bidi/>
        <w:spacing w:after="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lang w:bidi="ar-EG"/>
        </w:rPr>
      </w:pP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أسباب زوالها</w:t>
      </w:r>
      <w:r w:rsidRPr="008C4467">
        <w:rPr>
          <w:rFonts w:ascii="Simplified Arabic" w:hAnsi="Simplified Arabic" w:cs="AL-Hotham" w:hint="cs"/>
          <w:b/>
          <w:bCs/>
          <w:sz w:val="18"/>
          <w:szCs w:val="18"/>
          <w:rtl/>
        </w:rPr>
        <w:t>:</w:t>
      </w:r>
    </w:p>
    <w:p w:rsidR="008C4467" w:rsidRPr="008C4467" w:rsidRDefault="008C4467" w:rsidP="008C4467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ولعل من المفيد ههنا أن نع</w:t>
      </w:r>
      <w:r w:rsidRPr="008C4467">
        <w:rPr>
          <w:rFonts w:ascii="Simplified Arabic" w:hAnsi="Simplified Arabic" w:cs="AL-Hotham" w:hint="cs"/>
          <w:b/>
          <w:bCs/>
          <w:sz w:val="18"/>
          <w:szCs w:val="18"/>
          <w:rtl/>
        </w:rPr>
        <w:t>دد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أسباب زوالها</w:t>
      </w:r>
      <w:r w:rsidRPr="008C4467">
        <w:rPr>
          <w:rFonts w:ascii="Simplified Arabic" w:hAnsi="Simplified Arabic" w:cs="AL-Hotham" w:hint="cs"/>
          <w:b/>
          <w:bCs/>
          <w:sz w:val="18"/>
          <w:szCs w:val="18"/>
          <w:rtl/>
        </w:rPr>
        <w:t>: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لقد كانت كراهية المسلمين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لحملتها مستمرة، </w:t>
      </w:r>
      <w:r w:rsidRPr="008C4467">
        <w:rPr>
          <w:rFonts w:ascii="Simplified Arabic" w:hAnsi="Simplified Arabic" w:cs="AL-Hotham" w:hint="cs"/>
          <w:b/>
          <w:bCs/>
          <w:sz w:val="18"/>
          <w:szCs w:val="18"/>
          <w:rtl/>
        </w:rPr>
        <w:t>و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قد تركت هذه الكراهية آثارًا واضحة في وجدانهم، قال ابن أبي عبلة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من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حمل شاذ العلماء حمل شر</w:t>
      </w:r>
      <w:r w:rsidRPr="008C4467">
        <w:rPr>
          <w:rFonts w:ascii="Simplified Arabic" w:hAnsi="Simplified Arabic" w:cs="AL-Hotham" w:hint="cs"/>
          <w:b/>
          <w:bCs/>
          <w:sz w:val="18"/>
          <w:szCs w:val="18"/>
          <w:rtl/>
        </w:rPr>
        <w:t>ًّ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ا كبير</w:t>
      </w:r>
      <w:r w:rsidRPr="008C4467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ا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".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وقد دفعت هذه الكراهية بعض العلماء إلى الطعن عليهم،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فقد رمى ابن المدين</w:t>
      </w:r>
      <w:r w:rsidRPr="008C4467">
        <w:rPr>
          <w:rFonts w:ascii="Simplified Arabic" w:hAnsi="Simplified Arabic" w:cs="AL-Hotham" w:hint="cs"/>
          <w:b/>
          <w:bCs/>
          <w:sz w:val="18"/>
          <w:szCs w:val="18"/>
          <w:rtl/>
        </w:rPr>
        <w:t>ي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ابن شنبوذ بكثرة اللحن، وقلة العلم، مع أن ابن شنبوذ كما وصفه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الذهبي: شيخ الإقراء في العراق، وأستاذ كبير في القراءات، كما قال ابن الجزري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C4467" w:rsidRPr="008C4467" w:rsidRDefault="008C4467" w:rsidP="008C4467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وكان للرسم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أثر بارز أيضًا في انحصارها، فقد بدت مناوأته لها على مر الأعوام شديدة حتى إذا حل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القرن الرابع وجدنا أثره قد ترسخ في أذهان المسلمين؛ فانجلى الخلاف عن نصر حاسم له،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أدى إلى ترك تلك المخالفات، وجعلها من الشواذ. أضف إلى ذلك، موت حملتها واحدًا بعد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الآخر، ومحاولة ابن شنبوذ إيحاء العمل بها، وتنبيهها في وقت كانت في طريقها إلى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الزوال، فقد جاءت هذه المحاولة ذريعة قوية للقضاء عليها؛ إذ استطاع مجتهد العصر ابن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مجاهد أن يغري بمنافسه ابن شنبوذ الوزير</w:t>
      </w:r>
      <w:r w:rsidRPr="008C4467">
        <w:rPr>
          <w:rFonts w:ascii="Simplified Arabic" w:hAnsi="Simplified Arabic" w:cs="AL-Hotham" w:hint="cs"/>
          <w:b/>
          <w:bCs/>
          <w:sz w:val="18"/>
          <w:szCs w:val="18"/>
          <w:rtl/>
        </w:rPr>
        <w:t>َ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ابن مقلة، فأمر الأخير بضربه فرجع عنها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C4467" w:rsidRPr="008C4467" w:rsidRDefault="008C4467" w:rsidP="008C4467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ولم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تكن هذه الحروف لتتسرب في قنوات الشذوذ فتكسب مصطلحه إلا بعد حقبة أيضًا، أو لعلها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ارتبطت بحادثة ابن شنبوذ، فصحيح أن هارون بن موسى الأعور هو أول من تتبع شاذ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القراءات في النصف الثاني من القرن الثاني، وأن في نقول سيبويه ما يوحي بتتبعه لهذه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الحروف، كقوله: وزعم هارون أنها في بعض المصاحف</w:t>
      </w:r>
      <w:r w:rsidRPr="008C4467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: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ودوا لو تدهنوا فيدهنوا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، ولكن أحدًا من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أئمة القرنين الثاني والثالث لم ينعت واحدًا من تلك الحروف بالشذوذ، وأول من وجدناه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يطلق عليها هذا الوصف هو أبو جعفر الطبري في مطلع القرن الرابع؛ إذ وصف قراءة ابن مسعود</w:t>
      </w:r>
      <w:r w:rsidRPr="008C4467">
        <w:rPr>
          <w:rFonts w:ascii="Simplified Arabic" w:hAnsi="Simplified Arabic" w:cs="AL-Hotham" w:hint="cs"/>
          <w:b/>
          <w:bCs/>
          <w:sz w:val="18"/>
          <w:szCs w:val="18"/>
          <w:rtl/>
        </w:rPr>
        <w:t>: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وإن كاد مكرهم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>بالدال</w:t>
      </w:r>
      <w:r w:rsidRPr="008C4467">
        <w:rPr>
          <w:rFonts w:ascii="Simplified Arabic" w:hAnsi="Simplified Arabic" w:cs="AL-Hotham" w:hint="cs"/>
          <w:b/>
          <w:bCs/>
          <w:sz w:val="18"/>
          <w:szCs w:val="18"/>
          <w:rtl/>
        </w:rPr>
        <w:t>؛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بأنها شاذة، لا تجوز القراءة بها؛ لخلافها مصاحف المسلمين</w:t>
      </w:r>
      <w:r w:rsidRPr="008C4467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8C4467" w:rsidRPr="008C4467" w:rsidRDefault="008C4467" w:rsidP="008C4467">
      <w:pPr>
        <w:pStyle w:val="NormalWeb"/>
        <w:bidi/>
        <w:spacing w:before="0" w:beforeAutospacing="0" w:after="0" w:afterAutospacing="0"/>
        <w:jc w:val="center"/>
        <w:rPr>
          <w:rFonts w:cs="AL-Hotham" w:hint="cs"/>
          <w:b/>
          <w:bCs/>
          <w:sz w:val="18"/>
          <w:szCs w:val="18"/>
          <w:rtl/>
          <w:lang w:bidi="ar-EG"/>
        </w:rPr>
      </w:pPr>
    </w:p>
    <w:p w:rsidR="008C4467" w:rsidRPr="008C4467" w:rsidRDefault="008C4467" w:rsidP="008C4467">
      <w:pPr>
        <w:spacing w:after="0" w:line="240" w:lineRule="auto"/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8C4467" w:rsidRPr="008C4467" w:rsidRDefault="008C4467" w:rsidP="008C4467">
      <w:pPr>
        <w:spacing w:after="0" w:line="240" w:lineRule="auto"/>
        <w:jc w:val="lowKashida"/>
        <w:rPr>
          <w:rFonts w:asciiTheme="majorBidi" w:hAnsiTheme="majorBidi" w:cstheme="majorBidi" w:hint="cs"/>
          <w:b/>
          <w:bCs/>
          <w:sz w:val="18"/>
          <w:szCs w:val="18"/>
        </w:rPr>
      </w:pPr>
      <w:r w:rsidRPr="008C4467">
        <w:rPr>
          <w:rFonts w:asciiTheme="majorBidi" w:hAnsiTheme="majorBidi" w:cstheme="majorBidi" w:hint="cs"/>
          <w:b/>
          <w:bCs/>
          <w:sz w:val="18"/>
          <w:szCs w:val="18"/>
          <w:rtl/>
        </w:rPr>
        <w:t>المراجع والمصادر</w:t>
      </w:r>
    </w:p>
    <w:p w:rsidR="008C4467" w:rsidRPr="008C4467" w:rsidRDefault="008C4467" w:rsidP="008C4467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446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(المحتسب في تبيين وجوه شواذ القراءات والإيضاح عنها) </w:t>
      </w:r>
    </w:p>
    <w:p w:rsidR="008C4467" w:rsidRPr="008C4467" w:rsidRDefault="008C4467" w:rsidP="008C4467">
      <w:pPr>
        <w:spacing w:after="0" w:line="240" w:lineRule="auto"/>
        <w:ind w:left="46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4467"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جني،  بتحقيق علي النجدي ناصف وزميليه، القاهرة، طبعة المجلس الأعلى للشئون الإسلامية، 1994م</w:t>
      </w:r>
    </w:p>
    <w:p w:rsidR="008C4467" w:rsidRPr="008C4467" w:rsidRDefault="008C4467" w:rsidP="008C4467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446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(مرشد الأعزة في بيان موقف العلماء من القراءات الشاذة) </w:t>
      </w:r>
    </w:p>
    <w:p w:rsidR="008C4467" w:rsidRPr="008C4467" w:rsidRDefault="008C4467" w:rsidP="008C4467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4467">
        <w:rPr>
          <w:rFonts w:asciiTheme="majorBidi" w:hAnsiTheme="majorBidi" w:cstheme="majorBidi"/>
          <w:b/>
          <w:bCs/>
          <w:sz w:val="18"/>
          <w:szCs w:val="18"/>
          <w:rtl/>
        </w:rPr>
        <w:t>عبد الكريم إبراهيم صالح،  دار المحدثين, 2006م</w:t>
      </w:r>
    </w:p>
    <w:p w:rsidR="008C4467" w:rsidRPr="008C4467" w:rsidRDefault="008C4467" w:rsidP="008C4467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4467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8C446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إعراب القراءات الشواذ) </w:t>
      </w:r>
    </w:p>
    <w:p w:rsidR="008C4467" w:rsidRPr="008C4467" w:rsidRDefault="008C4467" w:rsidP="008C4467">
      <w:pPr>
        <w:spacing w:after="0" w:line="240" w:lineRule="auto"/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4467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أبو البقاء العكبري،  بتحقيق محمد السيد أحمد عزوز،  عالم الكتب, 1996م</w:t>
      </w:r>
    </w:p>
    <w:p w:rsidR="008C4467" w:rsidRPr="008C4467" w:rsidRDefault="008C4467" w:rsidP="008C4467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446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(الاختلاف بين القراءات) </w:t>
      </w:r>
    </w:p>
    <w:p w:rsidR="008C4467" w:rsidRPr="008C4467" w:rsidRDefault="008C4467" w:rsidP="008C4467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4467">
        <w:rPr>
          <w:rFonts w:asciiTheme="majorBidi" w:hAnsiTheme="majorBidi" w:cstheme="majorBidi"/>
          <w:b/>
          <w:bCs/>
          <w:sz w:val="18"/>
          <w:szCs w:val="18"/>
          <w:rtl/>
        </w:rPr>
        <w:t>أحمد البيلي،  بيروت، دار الجبل، 1988م</w:t>
      </w:r>
    </w:p>
    <w:p w:rsidR="008C4467" w:rsidRPr="008C4467" w:rsidRDefault="008C4467" w:rsidP="008C4467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446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النحوي) </w:t>
      </w:r>
    </w:p>
    <w:p w:rsidR="008C4467" w:rsidRPr="008C4467" w:rsidRDefault="008C4467" w:rsidP="008C4467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4467">
        <w:rPr>
          <w:rFonts w:asciiTheme="majorBidi" w:hAnsiTheme="majorBidi" w:cstheme="majorBidi"/>
          <w:b/>
          <w:bCs/>
          <w:sz w:val="18"/>
          <w:szCs w:val="18"/>
          <w:rtl/>
        </w:rPr>
        <w:t>محمود أحمد الصغير، بيروت، دار الفكر المعاصر, 1999م</w:t>
      </w:r>
    </w:p>
    <w:p w:rsidR="008C4467" w:rsidRPr="008C4467" w:rsidRDefault="008C4467" w:rsidP="008C4467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446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(كتاب المصاحف) </w:t>
      </w:r>
    </w:p>
    <w:p w:rsidR="008C4467" w:rsidRPr="008C4467" w:rsidRDefault="008C4467" w:rsidP="008C4467">
      <w:pPr>
        <w:spacing w:after="0" w:line="240" w:lineRule="auto"/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4467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الله بن أبي داود سليمان بن الأشعث السجستاني، بيروت، دار الكتب العلمية, 1985م</w:t>
      </w:r>
    </w:p>
    <w:p w:rsidR="008C4467" w:rsidRPr="008C4467" w:rsidRDefault="008C4467" w:rsidP="008C4467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446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(مختصر في شواذ القران من كتاب البديع أو القراءات الشاذة) </w:t>
      </w:r>
    </w:p>
    <w:p w:rsidR="008C4467" w:rsidRPr="008C4467" w:rsidRDefault="008C4467" w:rsidP="008C4467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4467">
        <w:rPr>
          <w:rFonts w:asciiTheme="majorBidi" w:hAnsiTheme="majorBidi" w:cstheme="majorBidi"/>
          <w:b/>
          <w:bCs/>
          <w:sz w:val="18"/>
          <w:szCs w:val="18"/>
          <w:rtl/>
        </w:rPr>
        <w:t>الحسين بن احمد ابن خالويه، دار الهجرة،  1934م</w:t>
      </w:r>
    </w:p>
    <w:p w:rsidR="008C4467" w:rsidRPr="008C4467" w:rsidRDefault="008C4467" w:rsidP="008C4467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446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القرآنية في بلاد الشام) </w:t>
      </w:r>
    </w:p>
    <w:p w:rsidR="008C4467" w:rsidRPr="008C4467" w:rsidRDefault="008C4467" w:rsidP="008C4467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4467">
        <w:rPr>
          <w:rFonts w:asciiTheme="majorBidi" w:hAnsiTheme="majorBidi" w:cstheme="majorBidi"/>
          <w:b/>
          <w:bCs/>
          <w:sz w:val="18"/>
          <w:szCs w:val="18"/>
          <w:rtl/>
        </w:rPr>
        <w:t>حسين عطوان، بيروت، دار الجيل, 1982م</w:t>
      </w:r>
    </w:p>
    <w:p w:rsidR="008C4467" w:rsidRPr="008C4467" w:rsidRDefault="008C4467" w:rsidP="008C4467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446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من لغة العرب) </w:t>
      </w:r>
    </w:p>
    <w:p w:rsidR="008C4467" w:rsidRPr="008C4467" w:rsidRDefault="008C4467" w:rsidP="008C4467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4467">
        <w:rPr>
          <w:rFonts w:asciiTheme="majorBidi" w:hAnsiTheme="majorBidi" w:cstheme="majorBidi"/>
          <w:b/>
          <w:bCs/>
          <w:sz w:val="18"/>
          <w:szCs w:val="18"/>
          <w:rtl/>
        </w:rPr>
        <w:t>عبد الفتاح القاضي، الهيئة العامة لشئون المطابع الأميرية، 1975م</w:t>
      </w:r>
    </w:p>
    <w:p w:rsidR="008C4467" w:rsidRPr="008C4467" w:rsidRDefault="008C4467" w:rsidP="008C4467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446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(اليزيدي القارئ النحوي دراسة نحوية قرآنية) </w:t>
      </w:r>
    </w:p>
    <w:p w:rsidR="008C4467" w:rsidRPr="008C4467" w:rsidRDefault="008C4467" w:rsidP="008C4467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4467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 ،  دار الحسين الإسلامية, 1989م.</w:t>
      </w:r>
    </w:p>
    <w:p w:rsidR="008C4467" w:rsidRPr="008C4467" w:rsidRDefault="008C4467" w:rsidP="008C4467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446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(شواهد القراءات بين ابن هشام وابن عقيل، دراسة نحوية تحليلية) </w:t>
      </w:r>
    </w:p>
    <w:p w:rsidR="008C4467" w:rsidRPr="008C4467" w:rsidRDefault="008C4467" w:rsidP="008C4467">
      <w:pPr>
        <w:spacing w:after="0" w:line="240" w:lineRule="auto"/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4467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سحلول،  دار الطباعة المحمدية, 1993م</w:t>
      </w:r>
    </w:p>
    <w:p w:rsidR="008C4467" w:rsidRPr="008C4467" w:rsidRDefault="008C4467" w:rsidP="008C4467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446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أبي السمال العدوي) </w:t>
      </w:r>
    </w:p>
    <w:p w:rsidR="008C4467" w:rsidRPr="008C4467" w:rsidRDefault="008C4467" w:rsidP="008C4467">
      <w:pPr>
        <w:spacing w:after="0" w:line="240" w:lineRule="auto"/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4467">
        <w:rPr>
          <w:rFonts w:asciiTheme="majorBidi" w:hAnsiTheme="majorBidi" w:cstheme="majorBidi"/>
          <w:b/>
          <w:bCs/>
          <w:sz w:val="18"/>
          <w:szCs w:val="18"/>
          <w:rtl/>
        </w:rPr>
        <w:t>حمدي عبد الفتاح مصطفى خليل، الجريس، القاهرة, 2000م</w:t>
      </w:r>
    </w:p>
    <w:p w:rsidR="008C4467" w:rsidRPr="008C4467" w:rsidRDefault="008C4467" w:rsidP="008C4467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8C446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عبد الله بن مسعود مكانتها ومصادرها إحصاؤها) </w:t>
      </w:r>
    </w:p>
    <w:p w:rsidR="008C4467" w:rsidRPr="008C4467" w:rsidRDefault="008C4467" w:rsidP="008C4467">
      <w:pPr>
        <w:pStyle w:val="NormalWeb"/>
        <w:bidi/>
        <w:spacing w:before="0" w:beforeAutospacing="0" w:after="0" w:afterAutospacing="0"/>
        <w:ind w:left="284" w:firstLine="436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8C4467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محمد أحمد خاطر، دار الاعتصام, 1990م</w:t>
      </w:r>
    </w:p>
    <w:p w:rsidR="008C4467" w:rsidRPr="008C4467" w:rsidRDefault="008C4467" w:rsidP="008C4467">
      <w:pPr>
        <w:spacing w:after="0" w:line="240" w:lineRule="auto"/>
        <w:rPr>
          <w:rFonts w:hint="cs"/>
          <w:b/>
          <w:bCs/>
          <w:sz w:val="18"/>
          <w:szCs w:val="18"/>
          <w:lang w:bidi="ar-EG"/>
        </w:rPr>
      </w:pPr>
    </w:p>
    <w:p w:rsidR="008C4467" w:rsidRPr="008C4467" w:rsidRDefault="008C4467" w:rsidP="008C4467">
      <w:pPr>
        <w:pStyle w:val="NormalWeb"/>
        <w:bidi/>
        <w:spacing w:before="0" w:beforeAutospacing="0" w:after="0" w:afterAutospacing="0"/>
        <w:jc w:val="center"/>
        <w:rPr>
          <w:rFonts w:cs="AL-Hotham"/>
          <w:b/>
          <w:bCs/>
          <w:sz w:val="18"/>
          <w:szCs w:val="18"/>
          <w:lang w:bidi="ar-EG"/>
        </w:rPr>
        <w:sectPr w:rsidR="008C4467" w:rsidRPr="008C4467" w:rsidSect="008C4467">
          <w:type w:val="continuous"/>
          <w:pgSz w:w="11906" w:h="16838" w:code="9"/>
          <w:pgMar w:top="851" w:right="1274" w:bottom="1135" w:left="709" w:header="720" w:footer="720" w:gutter="0"/>
          <w:cols w:num="2" w:space="720"/>
          <w:titlePg/>
          <w:bidi/>
          <w:rtlGutter/>
          <w:docGrid w:linePitch="360"/>
        </w:sectPr>
      </w:pPr>
    </w:p>
    <w:p w:rsidR="008C4467" w:rsidRDefault="008C4467" w:rsidP="008C446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8"/>
          <w:szCs w:val="48"/>
          <w:rtl/>
        </w:rPr>
        <w:sectPr w:rsidR="008C4467" w:rsidSect="004168A0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8C4467" w:rsidRPr="008C4467" w:rsidRDefault="008C4467" w:rsidP="008C446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8"/>
          <w:szCs w:val="48"/>
        </w:rPr>
      </w:pPr>
    </w:p>
    <w:sectPr w:rsidR="008C4467" w:rsidRPr="008C4467" w:rsidSect="008C4467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1BC" w:rsidRDefault="003621BC" w:rsidP="008C4467">
      <w:pPr>
        <w:spacing w:after="0" w:line="240" w:lineRule="auto"/>
      </w:pPr>
      <w:r>
        <w:separator/>
      </w:r>
    </w:p>
  </w:endnote>
  <w:endnote w:type="continuationSeparator" w:id="1">
    <w:p w:rsidR="003621BC" w:rsidRDefault="003621BC" w:rsidP="008C4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Granad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QCF_P03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4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1BC" w:rsidRDefault="003621BC" w:rsidP="008C4467">
      <w:pPr>
        <w:spacing w:after="0" w:line="240" w:lineRule="auto"/>
      </w:pPr>
      <w:r>
        <w:separator/>
      </w:r>
    </w:p>
  </w:footnote>
  <w:footnote w:type="continuationSeparator" w:id="1">
    <w:p w:rsidR="003621BC" w:rsidRDefault="003621BC" w:rsidP="008C4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6E9" w:rsidRDefault="003621BC">
    <w:pPr>
      <w:pStyle w:val="Header"/>
    </w:pPr>
    <w:r>
      <w:rPr>
        <w:noProof/>
        <w:lang w:bidi="ar-SA"/>
      </w:rPr>
      <w:pict>
        <v:group id="_x0000_s1032" style="position:absolute;left:0;text-align:left;margin-left:3.5pt;margin-top:75.5pt;width:333.5pt;height:619.25pt;z-index:251661312" coordorigin="2625,2234" coordsize="6670,12385">
          <v:line id="_x0000_s1033" style="position:absolute" from="2648,14404" to="9269,14404" strokecolor="#95b3d7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8512;top:14165;width:754;height:454" fillcolor="#4f81bd" stroked="f">
            <v:fill color2="fill darken(118)" rotate="t" angle="-135" method="linear sigma" focus="100%" type="gradient"/>
            <v:shadow on="t" type="perspective" opacity=".5" origin=",.5" offset="0,0" matrix=",56756f,,.5"/>
            <v:textbox style="mso-next-textbox:#_x0000_s1034" inset="0,,0">
              <w:txbxContent>
                <w:p w:rsidR="00C326E9" w:rsidRPr="00907733" w:rsidRDefault="003621BC" w:rsidP="005E730C">
                  <w:pPr>
                    <w:spacing w:line="280" w:lineRule="exact"/>
                    <w:jc w:val="center"/>
                    <w:rPr>
                      <w:rFonts w:cs="AL-Mateen" w:hint="cs"/>
                      <w:color w:val="FFFFFF"/>
                      <w:sz w:val="40"/>
                      <w:szCs w:val="40"/>
                      <w:rtl/>
                    </w:rPr>
                  </w:pPr>
                  <w:r w:rsidRPr="00907733">
                    <w:rPr>
                      <w:rStyle w:val="PageNumber"/>
                      <w:rFonts w:cs="AL-Mateen"/>
                      <w:color w:val="FFFFFF"/>
                      <w:sz w:val="40"/>
                      <w:szCs w:val="40"/>
                    </w:rPr>
                    <w:fldChar w:fldCharType="begin"/>
                  </w:r>
                  <w:r w:rsidRPr="00907733">
                    <w:rPr>
                      <w:rStyle w:val="PageNumber"/>
                      <w:rFonts w:cs="AL-Mateen"/>
                      <w:color w:val="FFFFFF"/>
                      <w:sz w:val="40"/>
                      <w:szCs w:val="40"/>
                    </w:rPr>
                    <w:instrText xml:space="preserve"> PAGE </w:instrText>
                  </w:r>
                  <w:r w:rsidRPr="00907733">
                    <w:rPr>
                      <w:rStyle w:val="PageNumber"/>
                      <w:rFonts w:cs="AL-Mateen"/>
                      <w:color w:val="FFFFFF"/>
                      <w:sz w:val="40"/>
                      <w:szCs w:val="40"/>
                    </w:rPr>
                    <w:fldChar w:fldCharType="separate"/>
                  </w:r>
                  <w:r>
                    <w:rPr>
                      <w:rStyle w:val="PageNumber"/>
                      <w:rFonts w:cs="AL-Mateen"/>
                      <w:noProof/>
                      <w:color w:val="FFFFFF"/>
                      <w:sz w:val="40"/>
                      <w:szCs w:val="40"/>
                      <w:rtl/>
                    </w:rPr>
                    <w:t>24</w:t>
                  </w:r>
                  <w:r w:rsidRPr="00907733">
                    <w:rPr>
                      <w:rStyle w:val="PageNumber"/>
                      <w:rFonts w:cs="AL-Mateen"/>
                      <w:color w:val="FFFFFF"/>
                      <w:sz w:val="40"/>
                      <w:szCs w:val="40"/>
                    </w:rPr>
                    <w:fldChar w:fldCharType="end"/>
                  </w: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5305;top:2501;width:3969;height:0;flip:x" o:connectortype="straight" strokecolor="#95b3d7" strokeweight="1pt">
            <v:shadow type="perspective" color="#243f60" opacity=".5" offset="1pt" offset2="-3pt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left:2625;top:2282;width:2551;height:397" fillcolor="#369" stroked="f">
            <v:shadow on="t" color="#b2b2b2" opacity="52429f" offset="1pt,0" offset2="-4pt,-4pt"/>
            <v:textpath style="font-family:&quot;Al-Mothnna&quot;;v-text-kern:t" trim="t" fitpath="t" string="القراءات الشاذة"/>
          </v:shape>
          <v:rect id="_x0000_s1037" style="position:absolute;left:7594;top:2234;width:1701;height:509" fillcolor="#4f81bd" strokecolor="#f2f2f2" strokeweight="1pt">
            <v:fill color2="#243f60" angle="-135" focusposition="1" focussize="" focus="100%" type="gradient"/>
            <v:shadow on="t" type="perspective" color="#b8cce4" opacity=".5" origin=",.5" offset="0,0" matrix=",56756f,,.5"/>
            <v:textbox style="mso-next-textbox:#_x0000_s1037">
              <w:txbxContent>
                <w:p w:rsidR="00C326E9" w:rsidRPr="00E31343" w:rsidRDefault="003621BC" w:rsidP="005E730C">
                  <w:pPr>
                    <w:ind w:left="428"/>
                    <w:rPr>
                      <w:rFonts w:cs="AGA Granada Regular"/>
                      <w:color w:val="FFFFFF"/>
                      <w:sz w:val="36"/>
                      <w:szCs w:val="36"/>
                      <w:rtl/>
                    </w:rPr>
                  </w:pPr>
                </w:p>
              </w:txbxContent>
            </v:textbox>
          </v:rect>
          <v:shape id="_x0000_s1038" type="#_x0000_t136" style="position:absolute;left:7736;top:2330;width:1417;height:317" stroked="f">
            <v:shadow on="t" color="black" opacity="52429f" offset="1pt,0" offset2="-4pt,-4pt"/>
            <v:textpath style="font-family:&quot;AGA Granada Regular&quot;;v-text-kern:t" trim="t" fitpath="t" string="الدرس الأول"/>
          </v:shape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54AF07C7"/>
    <w:multiLevelType w:val="hybridMultilevel"/>
    <w:tmpl w:val="3DB6F57A"/>
    <w:lvl w:ilvl="0" w:tplc="ED52165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3074"/>
    <o:shapelayout v:ext="edit">
      <o:idmap v:ext="edit" data="1"/>
      <o:rules v:ext="edit">
        <o:r id="V:Rule2" type="connector" idref="#_x0000_s103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4467"/>
    <w:rsid w:val="001A2769"/>
    <w:rsid w:val="003621BC"/>
    <w:rsid w:val="004168A0"/>
    <w:rsid w:val="004219C3"/>
    <w:rsid w:val="004A286F"/>
    <w:rsid w:val="008C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9C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C44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C446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HeaderChar">
    <w:name w:val="Header Char"/>
    <w:basedOn w:val="DefaultParagraphFont"/>
    <w:link w:val="Header"/>
    <w:rsid w:val="008C4467"/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PageNumber">
    <w:name w:val="page number"/>
    <w:basedOn w:val="DefaultParagraphFont"/>
    <w:rsid w:val="008C4467"/>
  </w:style>
  <w:style w:type="paragraph" w:styleId="Footer">
    <w:name w:val="footer"/>
    <w:basedOn w:val="Normal"/>
    <w:link w:val="FooterChar"/>
    <w:uiPriority w:val="99"/>
    <w:semiHidden/>
    <w:unhideWhenUsed/>
    <w:rsid w:val="008C44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4467"/>
  </w:style>
  <w:style w:type="character" w:styleId="Hyperlink">
    <w:name w:val="Hyperlink"/>
    <w:basedOn w:val="DefaultParagraphFont"/>
    <w:uiPriority w:val="99"/>
    <w:unhideWhenUsed/>
    <w:rsid w:val="008C44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hmedmsamir5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1703</Words>
  <Characters>9708</Characters>
  <Application>Microsoft Office Word</Application>
  <DocSecurity>0</DocSecurity>
  <Lines>80</Lines>
  <Paragraphs>22</Paragraphs>
  <ScaleCrop>false</ScaleCrop>
  <Company>Fannan</Company>
  <LinksUpToDate>false</LinksUpToDate>
  <CharactersWithSpaces>11389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Fannan NewLook V5</cp:lastModifiedBy>
  <cp:revision>1</cp:revision>
  <dcterms:created xsi:type="dcterms:W3CDTF">2013-06-16T13:44:00Z</dcterms:created>
  <dcterms:modified xsi:type="dcterms:W3CDTF">2013-06-16T13:51:00Z</dcterms:modified>
</cp:coreProperties>
</file>