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2" w:rsidRDefault="00F85002" w:rsidP="00F85002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F85002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تطور الاحتجاج للقراءات</w:t>
      </w:r>
    </w:p>
    <w:p w:rsidR="00F85002" w:rsidRDefault="00F85002" w:rsidP="00F85002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F85002" w:rsidRPr="00F7753E" w:rsidRDefault="00F85002" w:rsidP="00F85002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F85002" w:rsidRPr="00F7753E" w:rsidRDefault="00F85002" w:rsidP="00F85002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F85002" w:rsidRPr="00F7753E" w:rsidRDefault="00F85002" w:rsidP="00F85002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F85002" w:rsidRPr="00426F7E" w:rsidRDefault="00F85002" w:rsidP="00F85002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F85002" w:rsidRPr="00426F7E" w:rsidRDefault="00F85002" w:rsidP="00F85002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F85002" w:rsidRPr="00426F7E" w:rsidRDefault="00F85002" w:rsidP="00F85002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F85002" w:rsidRPr="00426F7E" w:rsidRDefault="00F85002" w:rsidP="00F85002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F85002" w:rsidRDefault="00F85002" w:rsidP="00F85002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F85002" w:rsidRPr="00426F7E" w:rsidRDefault="00F85002" w:rsidP="00F85002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F85002" w:rsidRDefault="00F85002" w:rsidP="00F85002">
      <w:pPr>
        <w:spacing w:before="6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F85002" w:rsidSect="00F85002">
          <w:pgSz w:w="11906" w:h="16838"/>
          <w:pgMar w:top="1135" w:right="991" w:bottom="567" w:left="1701" w:header="708" w:footer="708" w:gutter="0"/>
          <w:cols w:space="708"/>
          <w:bidi/>
          <w:rtlGutter/>
          <w:docGrid w:linePitch="360"/>
        </w:sectPr>
      </w:pPr>
    </w:p>
    <w:p w:rsidR="00F85002" w:rsidRPr="00F85002" w:rsidRDefault="00F85002" w:rsidP="00F85002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F8500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تطور الاحتجاج للقراءات</w:t>
      </w:r>
    </w:p>
    <w:p w:rsidR="00F85002" w:rsidRPr="00F85002" w:rsidRDefault="00F85002" w:rsidP="00F85002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F85002" w:rsidRPr="00F85002" w:rsidRDefault="00F85002" w:rsidP="00F85002">
      <w:pPr>
        <w:spacing w:before="60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F85002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F8500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تطور، الاحتجاج، النحاه</w:t>
      </w:r>
    </w:p>
    <w:p w:rsidR="00F85002" w:rsidRPr="00F85002" w:rsidRDefault="00F85002" w:rsidP="00F85002">
      <w:pPr>
        <w:numPr>
          <w:ilvl w:val="0"/>
          <w:numId w:val="2"/>
        </w:numPr>
        <w:spacing w:before="60"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F85002" w:rsidRPr="00F85002" w:rsidRDefault="00F85002" w:rsidP="00F85002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F8500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تطور الاحتجاج للقراءات</w:t>
      </w:r>
    </w:p>
    <w:p w:rsidR="00F85002" w:rsidRPr="00F85002" w:rsidRDefault="00F85002" w:rsidP="00F85002">
      <w:pPr>
        <w:spacing w:before="6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85002" w:rsidRPr="00F85002" w:rsidRDefault="00F85002" w:rsidP="00F85002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F85002" w:rsidRPr="00F85002" w:rsidRDefault="00F85002" w:rsidP="00F85002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احتج كل من القراء والنحاة للقراءات، فوجهوها وكشفوا عن عللها، وكانت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مشغلتهم بالاحتجاج متدرجة في خطوات على النحو التالي؛ فالخطوة الأولى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تتمثل في الاحتجاجات الفردية لبعض القراءات، كما روي عن ابن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عباس </w:t>
      </w:r>
      <w:r w:rsidRPr="00F85002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أنه قرأ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ننشرها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من قوله تعالى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85002">
        <w:rPr>
          <w:rFonts w:ascii="Simplified Arabic" w:hAnsi="Simplified Arabic" w:cs="DecoType Thuluth" w:hint="cs"/>
          <w:b/>
          <w:bCs/>
          <w:sz w:val="18"/>
          <w:szCs w:val="18"/>
          <w:rtl/>
        </w:rPr>
        <w:t>{</w:t>
      </w:r>
      <w:r w:rsidRPr="00F85002">
        <w:rPr>
          <w:rFonts w:ascii="QCF_P043" w:hAnsi="QCF_P043" w:cs="QCF_P043"/>
          <w:b/>
          <w:bCs/>
          <w:sz w:val="18"/>
          <w:szCs w:val="18"/>
          <w:rtl/>
        </w:rPr>
        <w:t>ﯲ ﯳ ﯴ ﯵ ﯶ</w:t>
      </w:r>
      <w:r w:rsidRPr="00F85002">
        <w:rPr>
          <w:rFonts w:ascii="QCF_P043" w:hAnsi="QCF_P043" w:cs="DecoType Thuluth"/>
          <w:b/>
          <w:bCs/>
          <w:sz w:val="18"/>
          <w:szCs w:val="18"/>
          <w:rtl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[البقرة: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259] واحتج بقوله تعالى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585" w:hAnsi="QCF_P585" w:cs="QCF_P585"/>
          <w:b/>
          <w:bCs/>
          <w:sz w:val="18"/>
          <w:szCs w:val="18"/>
          <w:rtl/>
        </w:rPr>
        <w:t>ﮧ ﮨ ﮩ ﮪ</w:t>
      </w:r>
      <w:r w:rsidRPr="00F85002">
        <w:rPr>
          <w:rFonts w:ascii="QCF_P585" w:hAnsi="QCF_P585" w:cs="DecoType Thuluth"/>
          <w:b/>
          <w:bCs/>
          <w:sz w:val="18"/>
          <w:szCs w:val="18"/>
          <w:rtl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عبس: 22] وقال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إنشارها إحياؤها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وجاء في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معاني القرآن) للفراء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وقرأ الحسن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ننشرها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ذهب إلى النشر،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والطي، والوجه أن تقول: أنشر الله الموتى فنُشروا إذا أحيوا. قال الأعشى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51"/>
        <w:gridCol w:w="525"/>
        <w:gridCol w:w="1793"/>
      </w:tblGrid>
      <w:tr w:rsidR="00F85002" w:rsidRPr="00F85002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F85002" w:rsidRPr="00F85002" w:rsidRDefault="00F85002" w:rsidP="00F85002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F85002">
              <w:rPr>
                <w:rFonts w:cs="AGA Furat Regular"/>
                <w:b/>
                <w:bCs/>
                <w:sz w:val="18"/>
                <w:szCs w:val="18"/>
                <w:rtl/>
              </w:rPr>
              <w:t>......................</w:t>
            </w:r>
            <w:r w:rsidRPr="00F8500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5002" w:rsidRPr="00F85002" w:rsidRDefault="00F85002" w:rsidP="00F85002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F85002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F85002" w:rsidRPr="00F85002" w:rsidRDefault="00F85002" w:rsidP="00F85002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F85002">
              <w:rPr>
                <w:rFonts w:cs="AGA Furat Regular"/>
                <w:b/>
                <w:bCs/>
                <w:sz w:val="18"/>
                <w:szCs w:val="18"/>
                <w:rtl/>
              </w:rPr>
              <w:t>يا عجب</w:t>
            </w:r>
            <w:r w:rsidRPr="00F85002">
              <w:rPr>
                <w:rFonts w:cs="AGA Furat Regular" w:hint="cs"/>
                <w:b/>
                <w:bCs/>
                <w:sz w:val="18"/>
                <w:szCs w:val="18"/>
                <w:rtl/>
              </w:rPr>
              <w:t>ً</w:t>
            </w:r>
            <w:r w:rsidRPr="00F85002">
              <w:rPr>
                <w:rFonts w:cs="AGA Furat Regular"/>
                <w:b/>
                <w:bCs/>
                <w:sz w:val="18"/>
                <w:szCs w:val="18"/>
                <w:rtl/>
              </w:rPr>
              <w:t>ا للميت الناشر</w:t>
            </w:r>
            <w:r w:rsidRPr="00F8500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وكما روي عن عاصم الجحدري أنه كان يقرأ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ملك يوم الدين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 [الفاتحة: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4] بغير ألف،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واحتج على من قرأها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001" w:hAnsi="QCF_P001" w:cs="QCF_P001"/>
          <w:b/>
          <w:bCs/>
          <w:sz w:val="18"/>
          <w:szCs w:val="18"/>
          <w:rtl/>
        </w:rPr>
        <w:t>ﭞ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بالألف، فقال: يلزمه أن يقرأ: 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أعوذ برب الناس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مالك الناس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وكان عيسى بن عمرو يقرأ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429" w:hAnsi="QCF_P429" w:cs="QCF_P429"/>
          <w:b/>
          <w:bCs/>
          <w:sz w:val="18"/>
          <w:szCs w:val="18"/>
          <w:rtl/>
        </w:rPr>
        <w:t>ﮊ ﮋ ﮌ ﮍ</w:t>
      </w:r>
      <w:r w:rsidRPr="00F85002">
        <w:rPr>
          <w:rFonts w:ascii="QCF_P429" w:hAnsi="QCF_P429" w:cs="DecoType Thuluth"/>
          <w:b/>
          <w:bCs/>
          <w:sz w:val="18"/>
          <w:szCs w:val="18"/>
          <w:rtl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سبأ: 10] بالنصب، ويقول: هو على النداء أي يا جبال أوبي معه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والطير،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وكان الغالب عليه حب النصب إذا وجد لذلك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سبيل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 منه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603" w:hAnsi="QCF_P603" w:cs="QCF_P603"/>
          <w:b/>
          <w:bCs/>
          <w:sz w:val="18"/>
          <w:szCs w:val="18"/>
          <w:rtl/>
        </w:rPr>
        <w:t>ﮛ ﮜ</w:t>
      </w:r>
      <w:r w:rsidRPr="00F85002">
        <w:rPr>
          <w:rFonts w:ascii="QCF_P603" w:hAnsi="QCF_P603" w:cs="DecoType Thuluth"/>
          <w:b/>
          <w:bCs/>
          <w:sz w:val="18"/>
          <w:szCs w:val="18"/>
          <w:rtl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[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المسد: 4] وأيضًا 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الزَّانِيَةَ وَالزَّانِي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F85002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  <w:lang w:bidi="ar-EG"/>
        </w:rPr>
        <w:t>[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النور: 2]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وَالسَّارِقَ وَالسَّارِقَة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F85002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  <w:lang w:bidi="ar-EG"/>
        </w:rPr>
        <w:t>[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المائدة: 38]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هُنَّ أَطْهَرَ لَكُمْ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[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هود: 78]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هذه تخريجات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فردية لبعض القراءات مرتبة ترتيبًا تاريخيًّا. ويندرج تحت هذه الخطوة احتجاج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سيبويه لبعض ما أورد في (الكتاب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قراءات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ثم تأتي الخطوة الثانية: وتتمثل في عُمْر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هارون بن موسى الأعور، المتوفى قبل المائتين من الهجرة، الذي قال عنه أبو حاتم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السجستاني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إنه أول من سمع بالبصرة وجوه القراءات، وألفها، وتتبع الشاذ منها،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فبحث عن إسناده، والبحث عن الإسناد ضرب من ضروب الاحتجاج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وتتمثل هذه الخطوة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كذلك في عُمْر يعقوب بن إسحاق بن زيد الحضرمي، أحد القراء العشرة وحفيد عبد الله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بن أبي إسحاق النحوي. قال أبو حاتم عن يعقوب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كان أعلم من أدركنا ورأينا بالحروف،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والاختلاف في القرآن وتعليله، ومذاهبه ومذاهب النحو في القرآن، وأروى الناس لحروف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القرآن وحديث الفقهاء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، وقد ألف يعقوب كتابًا سماه (الجامع) جمع فيه عامة اختلاف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وجوه القرآن، ونسب كل حرف إلى من قرأ به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وأود هنا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أن أنبه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إلى أن الخطوتين 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خطوة التخريجات الفردية، وخطوة الكتب الجامعة للقراءات وإسنادها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لم تكونا منفصلتين متتابعتين؛ بل إن الخطوة الأولى 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مع سبقها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تتحد أو تلتقي بجانب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الخطوة الثانية، ذلكم ما يُفهم مما روي عن عثمان المازني 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وهو متوفى سنة تسعة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وأربعين ومائتين للهجرة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أنه 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قرأت على أبي وأنا غلام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355" w:hAnsi="QCF_P355" w:cs="QCF_P355"/>
          <w:b/>
          <w:bCs/>
          <w:sz w:val="18"/>
          <w:szCs w:val="18"/>
          <w:rtl/>
        </w:rPr>
        <w:t xml:space="preserve">ﰀ </w:t>
      </w:r>
      <w:r w:rsidRPr="00F85002">
        <w:rPr>
          <w:rFonts w:ascii="QCF_P355" w:hAnsi="QCF_P355" w:cs="QCF_P355"/>
          <w:b/>
          <w:bCs/>
          <w:sz w:val="18"/>
          <w:szCs w:val="18"/>
          <w:rtl/>
        </w:rPr>
        <w:lastRenderedPageBreak/>
        <w:t>ﰁ ﰂ ﰃ ﰄ</w:t>
      </w:r>
      <w:r w:rsidRPr="00F85002">
        <w:rPr>
          <w:rFonts w:ascii="QCF_P355" w:hAnsi="QCF_P355" w:cs="DecoType Thuluth"/>
          <w:b/>
          <w:bCs/>
          <w:sz w:val="18"/>
          <w:szCs w:val="18"/>
          <w:rtl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النور: 43] فقال له أبو سوار الغنوي وكان فصيحًا: 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يخرج مِن خَلله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، فقال أبي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مِن خللهِ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قراءةٌ، فقال أبو سوار: أما سمعت قول الشاعر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42"/>
        <w:gridCol w:w="548"/>
        <w:gridCol w:w="1979"/>
      </w:tblGrid>
      <w:tr w:rsidR="00F85002" w:rsidRPr="00F85002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F85002" w:rsidRPr="00F85002" w:rsidRDefault="00F85002" w:rsidP="00F85002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F85002">
              <w:rPr>
                <w:rFonts w:cs="AGA Furat Regular"/>
                <w:b/>
                <w:bCs/>
                <w:sz w:val="18"/>
                <w:szCs w:val="18"/>
                <w:rtl/>
              </w:rPr>
              <w:t>بغمزة يخرجن منها</w:t>
            </w:r>
            <w:r w:rsidRPr="00F8500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5002" w:rsidRPr="00F85002" w:rsidRDefault="00F85002" w:rsidP="00F85002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F85002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F85002" w:rsidRPr="00F85002" w:rsidRDefault="00F85002" w:rsidP="00F85002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F85002">
              <w:rPr>
                <w:rFonts w:cs="AGA Furat Regular"/>
                <w:b/>
                <w:bCs/>
                <w:sz w:val="18"/>
                <w:szCs w:val="18"/>
                <w:rtl/>
              </w:rPr>
              <w:t>خروج الودق من خلل السحاب</w:t>
            </w:r>
            <w:r w:rsidRPr="00F8500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قال أبو عثمان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خَلَل وخِلال واحد هما مصدران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ومن الكتب الجامعة أيضًا للاحتجاج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كتاب (الاحتجاج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لكل من المبرد وابن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درستويه، ثم كان بين الأئمة نحاة وقراء،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جادلوا حول القراءات منذ مطلع القرن الثاني الهجري، حتى مطلع القرن الثالث من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الهجرة أن يلفظ آخر أنفاسه،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وقد رصد ما دار بين هؤلاء الأئمة على امتداد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القرنين الهجريين الثاني والثالث، ولذلك التحديد التاريخي أهميته؛ حيث تسلمنا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نهايته إلى عصر ابن مجاهد، وبذلك تتضح حلقات الاحتجاج للقراءات وتطوره، منذ أن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كان تخريجات فردية إلى أن استحصد، واستوى على سوقه، بعمل أبي علي الفارسي تلميذ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ابن مجاهد ومن جاء بعده من المحتجين مشارقة، ومغاربة، وأندلسيين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هذا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؛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وقد جاء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تتبعي للتخريجات الفردية من الأئمة القراء والنحاة على الوجه التالي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pacing w:val="4"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أولًا: بين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بلال بن أبي مردة، وعبد الله بن أبي إسحاق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. 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حدث الأصمعي قال لأبي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بلال بن أبي بردة عبد الله بن أبي إسحاق الحضرمي في حرف من القرآن قال بلال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: </w:t>
      </w:r>
      <w:r w:rsidRPr="00F85002">
        <w:rPr>
          <w:rFonts w:ascii="Simplified Arabic" w:hAnsi="Simplified Arabic" w:cs="DecoType Thuluth"/>
          <w:b/>
          <w:bCs/>
          <w:spacing w:val="4"/>
          <w:sz w:val="18"/>
          <w:szCs w:val="18"/>
          <w:rtl/>
          <w:lang w:bidi="ar-EG"/>
        </w:rPr>
        <w:t>{</w:t>
      </w:r>
      <w:r w:rsidRPr="00F85002">
        <w:rPr>
          <w:rFonts w:ascii="QCF_P317" w:hAnsi="QCF_P317" w:cs="QCF_P317"/>
          <w:b/>
          <w:bCs/>
          <w:spacing w:val="4"/>
          <w:sz w:val="18"/>
          <w:szCs w:val="18"/>
          <w:rtl/>
        </w:rPr>
        <w:t>ﯼ</w:t>
      </w:r>
      <w:r w:rsidRPr="00F85002">
        <w:rPr>
          <w:rFonts w:ascii="Simplified Arabic" w:hAnsi="Simplified Arabic" w:cs="DecoType Thuluth"/>
          <w:b/>
          <w:bCs/>
          <w:spacing w:val="4"/>
          <w:sz w:val="18"/>
          <w:szCs w:val="18"/>
          <w:rtl/>
          <w:lang w:bidi="ar-EG"/>
        </w:rPr>
        <w:t>}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[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طه: 87] وقال ابن أبي إسحاق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بمُلكنا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"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، فتراضيا بأبي عمرو، فوجه بلال إليه، فقال أبو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عمرو عما أراده له فعرف فدخل، وقد عرف قول بلال فسأله بلال فأجازهما، وفضَّل قول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بلال فقال له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ابن أبي إسحاق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أما قرأنا على مجاهد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"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بمُلكنا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" 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بضم الميم؟ فقال أبو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عمرو: أخبرت بما عندي فوصله بلال، فلما خرجا قال لعبد الله بن أبي إسحاق: والله لو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أخطأ الملوك لصوبنا خطأهم، فكيف إذا أصابوا؟! إن منازعة الملوك تضعفهم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"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، وكان أبو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عمرو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رجل زمانه علمًا ونبلًا وصدق لهجة غير معتد به، ولا محتج عليه</w:t>
      </w:r>
      <w:r w:rsidRPr="00F85002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أيضًا بين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يونس بن حبيب وعبد الله بن أبي إسحاق. حدث يونس 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مضيت إلى عبد الله بن أبي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إسحاق الحضرمي فقلت له: كيف تقرأ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577" w:hAnsi="QCF_P577" w:cs="QCF_P577"/>
          <w:b/>
          <w:bCs/>
          <w:sz w:val="18"/>
          <w:szCs w:val="18"/>
          <w:rtl/>
        </w:rPr>
        <w:t>ﮬ ﮭ ﮮ</w:t>
      </w:r>
      <w:r w:rsidRPr="00F85002">
        <w:rPr>
          <w:rFonts w:ascii="QCF_P577" w:hAnsi="QCF_P577" w:cs="DecoType Thuluth"/>
          <w:b/>
          <w:bCs/>
          <w:sz w:val="18"/>
          <w:szCs w:val="18"/>
          <w:rtl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؟ 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[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القيامة: 7] فقال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فَإِذَا بَرَقَ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الْبَصَرُ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، وفتح الراء،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فقمت من عنده إلى أبي عمرو فقال: من أين جئت؟ فقلت: من عند عبد الله بن أبي إسحاق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الحضرمي سأله كيف تقرأ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577" w:hAnsi="QCF_P577" w:cs="QCF_P577"/>
          <w:b/>
          <w:bCs/>
          <w:sz w:val="18"/>
          <w:szCs w:val="18"/>
          <w:rtl/>
        </w:rPr>
        <w:t>ﮬ ﮭ ﮮ</w:t>
      </w:r>
      <w:r w:rsidRPr="00F85002">
        <w:rPr>
          <w:rFonts w:ascii="QCF_P577" w:hAnsi="QCF_P577" w:cs="DecoType Thuluth"/>
          <w:b/>
          <w:bCs/>
          <w:sz w:val="18"/>
          <w:szCs w:val="18"/>
          <w:rtl/>
        </w:rPr>
        <w:t>}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؟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فَإِذَا بَرَقَ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الْبَصَرُ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بفتح الراء،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فقال أبو عمرو: وأين يراد به؟ يقال: بَرَقت السماء وبرَق النبت، وبرَقت الأرض، فأما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البصر فبرِق، كذا سمعنا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أيضًا بين يحيى بن الحارث الذماري ويزيد بن أبي مالك. قال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يحيى الذماري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اختلفت أنا ويزيد بن أبي مالك في</w:t>
      </w:r>
      <w:r w:rsidRPr="00F85002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  <w:lang w:bidi="ar-EG"/>
        </w:rPr>
        <w:t>: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F85002">
        <w:rPr>
          <w:rFonts w:ascii="QCF_P285" w:hAnsi="QCF_P285" w:cs="QCF_P285"/>
          <w:b/>
          <w:bCs/>
          <w:spacing w:val="-4"/>
          <w:sz w:val="18"/>
          <w:szCs w:val="18"/>
          <w:rtl/>
        </w:rPr>
        <w:t>ﮄ ﮅ ﮆ ﮇ ﮈ</w:t>
      </w:r>
      <w:r w:rsidRPr="00F85002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}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F8500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الإسراء: 31]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فقلت أنا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خَطئ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، وقال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هو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285" w:hAnsi="QCF_P285" w:cs="QCF_P285"/>
          <w:b/>
          <w:bCs/>
          <w:sz w:val="18"/>
          <w:szCs w:val="18"/>
          <w:rtl/>
        </w:rPr>
        <w:t>ﮇ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فقمنا إلى أبي عبد الله بن عامر اليحصبي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وكان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إمامًا في القراءة،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وكان على المسجد وكان لا يرى فيه بدعة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إلا غيرها فسألناه فقال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خَطئ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 كبير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كذلك حدث بين عيسى بن عمر وقراءاته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204" w:hAnsi="QCF_P204" w:cs="QCF_P204"/>
          <w:b/>
          <w:bCs/>
          <w:sz w:val="18"/>
          <w:szCs w:val="18"/>
          <w:rtl/>
        </w:rPr>
        <w:t>ﮊ ﮋ ﮌ ﮍ</w:t>
      </w:r>
      <w:r w:rsidRPr="00F85002">
        <w:rPr>
          <w:rFonts w:ascii="QCF_P204" w:hAnsi="QCF_P204" w:cs="DecoType Thuluth"/>
          <w:b/>
          <w:bCs/>
          <w:sz w:val="18"/>
          <w:szCs w:val="18"/>
          <w:rtl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التوبة: 109]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حكى ابن سلام 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قال سيبويه: كان عيسى بن عمر يقرأ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204" w:hAnsi="QCF_P204" w:cs="QCF_P204"/>
          <w:b/>
          <w:bCs/>
          <w:sz w:val="18"/>
          <w:szCs w:val="18"/>
          <w:rtl/>
        </w:rPr>
        <w:t>ﮊ ﮋ ﮌ ﮍ</w:t>
      </w:r>
      <w:r w:rsidRPr="00F85002">
        <w:rPr>
          <w:rFonts w:ascii="QCF_P204" w:hAnsi="QCF_P204" w:cs="DecoType Thuluth"/>
          <w:b/>
          <w:bCs/>
          <w:sz w:val="18"/>
          <w:szCs w:val="18"/>
          <w:rtl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قلت: أي شيء نوّن؟ 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لا أدري ولا أعرفه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قلت: فهل نوّن أحد غيره؟ قال: لا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قال أبو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الفتح بن جني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أخبرنا بهذه الحكاية أبو عمرو جعفر بن علي بن الحجاج عن أبي خليفة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بن الحباب عن محمد بن سلم. فأما التنوين فإنه وإن كان غير مسموع في هذه القراءة،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فإن قياسه أن تكون ألف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 للإلحاق لا للتأنيث كـ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تترًا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 [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المؤمنون: 44] في مَن نوّن وجعلها ملحقة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بجعفر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أيضًا بين أبي عمرو بن العلاء وأبي عبيدة. حدث المازني عن أبي عبيدة 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سمعت عمرو بن العلاء يقرأ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لَتَخِذْتَ عَلَيْهِ أَجْرًا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[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الكهف: 77] فسألته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عنه فقال: هي لغة فصيحة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كذلك بين الخليل بن أحمد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وأبي عمرو. حكى أبو بكر بن مجاهد في كتابه عن أبي عبد الرحمن اليزيدي عن أبيه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لقيني الخليل بن أحمد في حياة أبي عمرو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فقال لي: قرأ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529" w:hAnsi="QCF_P529" w:cs="QCF_P529"/>
          <w:b/>
          <w:bCs/>
          <w:sz w:val="18"/>
          <w:szCs w:val="18"/>
          <w:rtl/>
        </w:rPr>
        <w:t>ﯻ ﯼ</w:t>
      </w:r>
      <w:r w:rsidRPr="00F85002">
        <w:rPr>
          <w:rFonts w:ascii="QCF_P529" w:hAnsi="QCF_P529" w:cs="DecoType Thuluth"/>
          <w:b/>
          <w:bCs/>
          <w:sz w:val="18"/>
          <w:szCs w:val="18"/>
          <w:rtl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القمر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25]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ولم يقرأ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أأنبكم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قال: فلم أدر ما أقول له، فرجعت إلى أبي عمرو فذكرت له ما قال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الخليل فقال: فإذا لقيته فأخبره أن هذا من نبأت وليس من أنبأت. قال: فلقيته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فأخبرته بقول أبي عمرو فسكت. قال أبو بكر: هذا شيء لا أدري ما معناه،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اللهم إلا أن يكون الذي علم منه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شيئا منع غيره أن يعلمه، وإن كانت العربية، فلا فرق بين اجتماع الهمزتين من نبأت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ولا من أنبأت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ومما أريد أن أنبه إليه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أن الاحتجاج قد تنوع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للأوجه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المختلفة المروية في اللفظ القرآني، فقد يحتج مُلْكنا ومَلْكنا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577" w:hAnsi="QCF_P577" w:cs="QCF_P577"/>
          <w:b/>
          <w:bCs/>
          <w:sz w:val="18"/>
          <w:szCs w:val="18"/>
          <w:rtl/>
        </w:rPr>
        <w:t>ﮭ</w:t>
      </w:r>
      <w:r w:rsidRPr="00F85002">
        <w:rPr>
          <w:rFonts w:ascii="QCF_P577" w:hAnsi="QCF_P577" w:cs="DecoType Thuluth"/>
          <w:b/>
          <w:bCs/>
          <w:sz w:val="18"/>
          <w:szCs w:val="18"/>
          <w:rtl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بَرَقَ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85002">
        <w:rPr>
          <w:rFonts w:ascii="QCF_P285" w:hAnsi="QCF_P285" w:cs="QCF_P285"/>
          <w:b/>
          <w:bCs/>
          <w:sz w:val="18"/>
          <w:szCs w:val="18"/>
          <w:rtl/>
        </w:rPr>
        <w:t>ﮇ</w:t>
      </w:r>
      <w:r w:rsidRPr="00F8500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خَط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ئ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، إلى غير ذلك من الأمثلة التي ذكرتها لك، ويمثل هذا الاحتجاج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المرحلة الأولى من الاحتجاج للقراءات التخريجات الفردية، وأيضًا يعد عمل ابن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مجاهد باختياره القراء السبعة، وتأليفه فيها كتاب (السبعة)، ثم تأليفه في الشواذ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يعد خطوة حاسمة في تاريخ تطور الاحتجاج، وتأتي أهمية هذه الخطوة من مكانة ابن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مجاهد العلمية ومكانه عند الحكام،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فلقد كان الرجل ذا قدم راسخة في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القراءات، وكان بعيد الصيت مع الدين والحفظ والخير، كما كان مسموع الكلمة عند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الحكام، فانتصروا لاختيار ابن مجاهد وأوقعوا لمن خالفها العذاب، واتجه العلماء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النحاة منهم بخاصة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إلى الاحتجاج لسبعة ابن مجاهد؛ حماية للدين، وحفاظ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 على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التنزيل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ومثل اتجاههم هذا الخطوة الثالثة في الاحتجاج للقراءات، وتتابعت المعالم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الكبرى لهذه المرحلة على النحو الآتي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ابن مجاهد الذي قام بالاحتجاج في كتابه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السبعة) في القراءات، فيبدأ بسورة الفاتحة ثم أمسك عن ذكر الحجة؛ لأنه توقع أن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الكتاب بها سيثقل ويطول، فاقتصر على الأخبار بالقراءات وحدها دون احتجاج لها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كذلك يحتج أبو بكر محمد بن السري 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المعروف بابن السراج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للقراءات التي أخبر بها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ابن مجاهد في كتابه (السبعة)، فيتم سورة الفاتحة، ويتناول جزء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 من سورة البقرة، ثم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يمسك بعد الآيتين الأولين من سورة البقرة. وكذلك يؤلف أبو طاهر عبد الواحد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البزار كتاب (الانتصار لحمزة)، وقد جعله من كتب الاحتجاج لما يوحي به العنوان. كما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يؤلف محمد بن الحسن الأنصاري كتاب (السبعة) بعللها الكبير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وينشط أبو بكر محمد بن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الحسن بن مقسم في هذا الباب، فيؤلف كتاب (احتجاج القراءات)، كتاب (السبعة بعللها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الكبير)، كتاب (السبعة بعللها الأوسط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، كتاب (السبعة بعللها الأصغر)، وكذلك يؤلف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الأزهري صاحب (تهذيب اللغة) كتابًا في علل القراءات، ثم يعقبه أبو علي الفارسي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تلميذ ابن مجاهد بكتابه (الحجة في علل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السبع)، ويعاصر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أبا علي بن قلويه، فيحتج للقراءات السبعة كذلك، ويجيء ابن جني 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تلميذ أبي علي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الفارسي</w:t>
      </w:r>
      <w:r w:rsidRPr="00F8500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فينتصر لما شذذ ابن مجاهد من القراءات، ويحتج لها في كتابه (المحتسب)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وفي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القرن الخامس ينشط القراء الأندلسيون والمغاربة في الاحتجاج، فيؤلف مكي بن أبي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طالب القيسي كتابه (الكشف عن علل القراءات وحججها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، وأيضًا يؤلف الداني كتابه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الموضح لمذاهب القراء واختلافهم في الفتح والإمالة)، وتتتابع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كتب الاحتجاج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جامعة تفصيل مذاهب السبعة أو الثمانية أو العشرة أو الأربعة عشر،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وأغلبها يحتج احتجاج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موجز</w:t>
      </w:r>
      <w:r w:rsidRPr="00F85002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 لأصول وفرش الحروف، وبجانب هذه الكتب ما ألفه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علماؤنا المعاصرون المشتغلون بالقراءات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وأبرز من كتب من المعاصرين الشيخ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عبد الفتاح القاضي شيخ القراء بمصر، وخاصة كتابه الذي يحمل اسم (الاحتجاج للقراءات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الشاذة)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F85002" w:rsidRPr="00F85002" w:rsidRDefault="00F85002" w:rsidP="00F85002">
      <w:pPr>
        <w:pStyle w:val="NormalWeb"/>
        <w:bidi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المعالم الكبرى لتطور الاحتجاج: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الخطوة الأولى في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الاحتجاج: تتمثل في هذه التخريجات الفردية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الخطوة الثانية: وتتمثل في جميع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المختلفة والبحث عن إسنادها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85002" w:rsidRPr="00F85002" w:rsidRDefault="00F85002" w:rsidP="00F8500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الخطوة الثالثة: وقد هيأ أبو بكر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بن مجاهد لها الأسباب بتأليفه كتاب (السبعة) وكتاب (الشواذ)، وتتمثل في احتجاج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المشارقة والمغاربة لسبعة ابن مجاهد، أو الاقتصار على الانتصار لقارئ من السبعة،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</w:rPr>
        <w:t>أو لأصل من أصول القراءات، أو لما شذذ ابن مجاهد من القراءات</w:t>
      </w:r>
      <w:r w:rsidRPr="00F8500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F85002" w:rsidRPr="00F85002" w:rsidRDefault="00F85002" w:rsidP="00F85002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F85002" w:rsidRPr="00F85002" w:rsidRDefault="00F85002" w:rsidP="00F85002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F85002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F85002" w:rsidRPr="00F85002" w:rsidRDefault="00F85002" w:rsidP="00F85002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F85002" w:rsidRPr="00F85002" w:rsidRDefault="00F85002" w:rsidP="00F8500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F85002" w:rsidRPr="00F85002" w:rsidRDefault="00F85002" w:rsidP="00F85002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F85002" w:rsidRPr="00F85002" w:rsidRDefault="00F85002" w:rsidP="00F8500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F85002" w:rsidRPr="00F85002" w:rsidRDefault="00F85002" w:rsidP="00F8500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F85002" w:rsidRPr="00F85002" w:rsidRDefault="00F85002" w:rsidP="00F85002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F85002" w:rsidRPr="00F85002" w:rsidRDefault="00F85002" w:rsidP="00F8500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F85002" w:rsidRPr="00F85002" w:rsidRDefault="00F85002" w:rsidP="00F8500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F85002" w:rsidRPr="00F85002" w:rsidRDefault="00F85002" w:rsidP="00F8500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F85002" w:rsidRPr="00F85002" w:rsidRDefault="00F85002" w:rsidP="00F8500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F85002" w:rsidRPr="00F85002" w:rsidRDefault="00F85002" w:rsidP="00F85002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F85002" w:rsidRPr="00F85002" w:rsidRDefault="00F85002" w:rsidP="00F85002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F85002" w:rsidRPr="00F85002" w:rsidRDefault="00F85002" w:rsidP="00F8500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F85002" w:rsidRPr="00F85002" w:rsidRDefault="00F85002" w:rsidP="00F85002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F85002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F85002" w:rsidRPr="00F85002" w:rsidRDefault="00F85002" w:rsidP="00F85002">
      <w:pPr>
        <w:rPr>
          <w:rFonts w:hint="cs"/>
          <w:b/>
          <w:bCs/>
          <w:sz w:val="18"/>
          <w:szCs w:val="18"/>
        </w:rPr>
      </w:pPr>
    </w:p>
    <w:p w:rsidR="00F85002" w:rsidRPr="00F85002" w:rsidRDefault="00F85002" w:rsidP="00F85002">
      <w:pPr>
        <w:rPr>
          <w:b/>
          <w:bCs/>
          <w:sz w:val="18"/>
          <w:szCs w:val="18"/>
        </w:rPr>
      </w:pPr>
    </w:p>
    <w:p w:rsidR="00F85002" w:rsidRPr="00F85002" w:rsidRDefault="00F85002" w:rsidP="00F85002">
      <w:pPr>
        <w:spacing w:before="60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F85002" w:rsidRDefault="00F85002" w:rsidP="00F85002">
      <w:pPr>
        <w:spacing w:before="60"/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  <w:sectPr w:rsidR="00F85002" w:rsidSect="00F85002">
          <w:type w:val="continuous"/>
          <w:pgSz w:w="11906" w:h="16838"/>
          <w:pgMar w:top="1135" w:right="991" w:bottom="567" w:left="1701" w:header="708" w:footer="708" w:gutter="0"/>
          <w:cols w:num="2" w:space="708"/>
          <w:bidi/>
          <w:rtlGutter/>
          <w:docGrid w:linePitch="360"/>
        </w:sectPr>
      </w:pPr>
    </w:p>
    <w:p w:rsidR="004219C3" w:rsidRPr="00F85002" w:rsidRDefault="004219C3" w:rsidP="00F85002">
      <w:pPr>
        <w:spacing w:before="60"/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sectPr w:rsidR="004219C3" w:rsidRPr="00F85002" w:rsidSect="00F85002">
      <w:type w:val="continuous"/>
      <w:pgSz w:w="11906" w:h="16838"/>
      <w:pgMar w:top="1135" w:right="991" w:bottom="567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3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85002"/>
    <w:rsid w:val="001A2769"/>
    <w:rsid w:val="004168A0"/>
    <w:rsid w:val="004219C3"/>
    <w:rsid w:val="004A286F"/>
    <w:rsid w:val="00F8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00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85002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F850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1491</Words>
  <Characters>8499</Characters>
  <Application>Microsoft Office Word</Application>
  <DocSecurity>0</DocSecurity>
  <Lines>70</Lines>
  <Paragraphs>19</Paragraphs>
  <ScaleCrop>false</ScaleCrop>
  <Company>Fannan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2013-06-16T14:18:00Z</dcterms:created>
  <dcterms:modified xsi:type="dcterms:W3CDTF">2013-06-16T14:24:00Z</dcterms:modified>
</cp:coreProperties>
</file>