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C3" w:rsidRDefault="008D04CB" w:rsidP="008D04CB">
      <w:pPr>
        <w:jc w:val="center"/>
        <w:rPr>
          <w:rFonts w:asciiTheme="majorBidi" w:eastAsia="Calibri" w:hAnsiTheme="majorBidi" w:cstheme="majorBidi"/>
          <w:b/>
          <w:bCs/>
          <w:sz w:val="48"/>
          <w:szCs w:val="48"/>
          <w:rtl/>
        </w:rPr>
      </w:pPr>
      <w:r w:rsidRPr="008D04CB">
        <w:rPr>
          <w:rFonts w:asciiTheme="majorBidi" w:eastAsia="Calibri" w:hAnsiTheme="majorBidi" w:cstheme="majorBidi"/>
          <w:b/>
          <w:bCs/>
          <w:sz w:val="48"/>
          <w:szCs w:val="48"/>
          <w:rtl/>
        </w:rPr>
        <w:t>الاحتجاج بالقراءات الشاذة عند علماء اللغة</w:t>
      </w:r>
    </w:p>
    <w:p w:rsidR="008D04CB" w:rsidRPr="00F7753E" w:rsidRDefault="008D04CB" w:rsidP="008D04CB">
      <w:pPr>
        <w:spacing w:after="0" w:line="240" w:lineRule="auto"/>
        <w:jc w:val="center"/>
        <w:rPr>
          <w:rFonts w:asciiTheme="majorBidi" w:eastAsia="Calibri" w:hAnsiTheme="majorBidi" w:cstheme="majorBidi"/>
          <w:sz w:val="18"/>
          <w:szCs w:val="18"/>
          <w:rtl/>
          <w:lang w:bidi="ar-EG"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  <w:lang w:bidi="ar-EG"/>
        </w:rPr>
        <w:t>القراءات الشاذه</w:t>
      </w:r>
    </w:p>
    <w:p w:rsidR="008D04CB" w:rsidRPr="00426F7E" w:rsidRDefault="008D04CB" w:rsidP="003A67CE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 xml:space="preserve">إعداد / </w:t>
      </w:r>
      <w:r w:rsidR="003A67CE">
        <w:rPr>
          <w:rFonts w:asciiTheme="majorBidi" w:hAnsiTheme="majorBidi" w:cstheme="majorBidi" w:hint="cs"/>
          <w:sz w:val="18"/>
          <w:szCs w:val="18"/>
          <w:rtl/>
        </w:rPr>
        <w:t>شيماء رضا سالم سالم</w:t>
      </w:r>
    </w:p>
    <w:p w:rsidR="008D04CB" w:rsidRPr="00426F7E" w:rsidRDefault="008D04CB" w:rsidP="008D04CB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8D04CB" w:rsidRPr="00426F7E" w:rsidRDefault="008D04CB" w:rsidP="008D04CB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8D04CB" w:rsidRPr="00426F7E" w:rsidRDefault="008D04CB" w:rsidP="008D04CB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8D04CB" w:rsidRDefault="008B1BB5" w:rsidP="003A67CE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hyperlink r:id="rId7" w:history="1">
        <w:r w:rsidR="003A67CE">
          <w:rPr>
            <w:rStyle w:val="Hyperlink"/>
            <w:rFonts w:asciiTheme="majorBidi" w:hAnsiTheme="majorBidi" w:cstheme="majorBidi"/>
            <w:b/>
            <w:bCs/>
            <w:sz w:val="18"/>
            <w:szCs w:val="18"/>
            <w:lang w:bidi="ar-EG"/>
          </w:rPr>
          <w:t>sh_only_a@yahoo.com</w:t>
        </w:r>
      </w:hyperlink>
    </w:p>
    <w:p w:rsidR="008D04CB" w:rsidRPr="00426F7E" w:rsidRDefault="008D04CB" w:rsidP="008D04CB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</w:p>
    <w:p w:rsidR="008D04CB" w:rsidRDefault="008D04CB" w:rsidP="008D04C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8D04CB" w:rsidSect="008D04CB">
          <w:headerReference w:type="even" r:id="rId8"/>
          <w:pgSz w:w="11906" w:h="16838" w:code="9"/>
          <w:pgMar w:top="993" w:right="991" w:bottom="993" w:left="1560" w:header="720" w:footer="720" w:gutter="0"/>
          <w:cols w:space="720"/>
          <w:titlePg/>
          <w:bidi/>
          <w:rtlGutter/>
          <w:docGrid w:linePitch="360"/>
        </w:sectPr>
      </w:pPr>
    </w:p>
    <w:p w:rsidR="008D04CB" w:rsidRPr="008D04CB" w:rsidRDefault="008D04CB" w:rsidP="008D04CB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8D04CB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8D04CB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الاحتجاج بالقراءات الشاذة عند علماء اللغة</w:t>
      </w:r>
    </w:p>
    <w:p w:rsidR="008D04CB" w:rsidRPr="008D04CB" w:rsidRDefault="008D04CB" w:rsidP="008D04CB">
      <w:pPr>
        <w:spacing w:after="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</w:p>
    <w:p w:rsidR="008D04CB" w:rsidRPr="008D04CB" w:rsidRDefault="008D04CB" w:rsidP="008D04CB">
      <w:pPr>
        <w:spacing w:before="60" w:after="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8D04CB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8D04CB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القرأن، افصح، علماء</w:t>
      </w:r>
    </w:p>
    <w:p w:rsidR="008D04CB" w:rsidRPr="008D04CB" w:rsidRDefault="008D04CB" w:rsidP="008D04CB">
      <w:pPr>
        <w:numPr>
          <w:ilvl w:val="0"/>
          <w:numId w:val="2"/>
        </w:numPr>
        <w:spacing w:before="60" w:after="0" w:line="240" w:lineRule="auto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D04CB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8D04CB" w:rsidRPr="008D04CB" w:rsidRDefault="008D04CB" w:rsidP="008D04CB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8D04C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8D04CB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الاحتجاج بالقراءات الشاذة عند علماء اللغة</w:t>
      </w:r>
    </w:p>
    <w:p w:rsidR="008D04CB" w:rsidRPr="008D04CB" w:rsidRDefault="008D04CB" w:rsidP="008D04CB">
      <w:pPr>
        <w:spacing w:before="60" w:after="0"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8D04CB" w:rsidRPr="008D04CB" w:rsidRDefault="008D04CB" w:rsidP="008D04CB">
      <w:pPr>
        <w:numPr>
          <w:ilvl w:val="0"/>
          <w:numId w:val="3"/>
        </w:numPr>
        <w:spacing w:after="0" w:line="240" w:lineRule="auto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D04CB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8D04CB" w:rsidRPr="008D04CB" w:rsidRDefault="008D04CB" w:rsidP="008D04CB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معلوم أن القرآن الكريم بجميع قراءاته ورواياته نزل على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أفصح لغات العرب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وأكثرها ذيوعًا، فهو مصدر البلغاء حين ينشدون الكلام الجميل في أبهى صوره، وهو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المصدر الرئيس للنحاة حين يتطلعون إلى العبارة الصحيحة في أقوى أشكالها، فالقواعد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النحوية التي وضعها هؤلاء العلماء مستنبطة من كلام العرب الخلص منثوره ومنظومه، كما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أنها مستنبطة من القرآن الكريم ومن السنة النبوية المطهرة، فالكلام العربي </w:t>
      </w:r>
      <w:r w:rsidRPr="008D04CB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وفي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مقدمته القرآن الكريم، والسنة النبوية الشريفة</w:t>
      </w:r>
      <w:r w:rsidRPr="008D04CB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مصدر هذه القواعد منذ نشأت وعنه أخذت،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فهو الأصل وهي الفرع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D04CB" w:rsidRPr="008D04CB" w:rsidRDefault="008D04CB" w:rsidP="008D04CB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وعلى هذا فإن القواعد النحوية هي التي تخضع للقراءة، ولا تخضع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القراءة للقواعد النحوية، من هنا فإن القراء إنما يهتمون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بما شاع وذاع من القراءات،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وبما تلقاه الأئمة بالإسناد الصحيح، ويعتمدون على الأثبت في الأثر والأصح في النقل،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ولا يهتمون بالنحو وقواعده وأصوله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8D04CB" w:rsidRPr="008D04CB" w:rsidRDefault="008D04CB" w:rsidP="008D04CB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قال المحقق ابن الجزري في نشره نقلًا عن الحافظ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أبي عمرو الداني في كتابه (جامع البيان</w:t>
      </w:r>
      <w:r w:rsidRPr="008D04CB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)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وأئمة القراءة لا تعمل في شيء من حروف القرآن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على الأفشى في اللغة والأقيس في العربية، بل على الأثبت في الأثر، والأصح في النقل،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والرواية إذا ثبتت عندهم لم يردها قياس عربية ولا فشو لغة؛ لأن القراءة سنة متبعة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يلزم قبولها والمصير إليها، أما بعض علماء اللغة فقد اختلفوا في الاستشهاد بالقراءات، وكان قوم من النحاة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يعيبون على عاصم وحمزة، وابن عامر قراءات، يزعمون أنها بعيدة في العربية، وينسبونها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إلى اللحن، مع ثبوت هذه القراءات بالأسانيد الصحيحة، وثبوت ذلك على جوازه في العربية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8D04CB" w:rsidRPr="008D04CB" w:rsidRDefault="008D04CB" w:rsidP="008D04CB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كما يرى جلال الدين السيوطي الذي اعتبر كل ما ورد أنه قرئ به جاز الاحتجاج به في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العربية، سواء كان متواترًا أم آحادًا أم شاذ</w:t>
      </w:r>
      <w:r w:rsidRPr="008D04CB">
        <w:rPr>
          <w:rFonts w:ascii="Simplified Arabic" w:hAnsi="Simplified Arabic" w:cs="AL-Hotham" w:hint="cs"/>
          <w:b/>
          <w:bCs/>
          <w:sz w:val="18"/>
          <w:szCs w:val="18"/>
          <w:rtl/>
        </w:rPr>
        <w:t>ًّ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ا؛ إذ يقول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وقد أطبق الناس على الاحتجاج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بالقراءات الشاذة في العربية إذا لم تخالف قياسًا معروفًا، بل لو خالفته يحتج بها في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مثل ذلك الحرف بعينه، وإن لم يجز القياس عليه، كما يحتج بالمجمع على وروده ومخالفته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القياس الوارد بعينه، ولا يقاس عليه، كما احتج على جواز إدخال لام الأمر على المضارع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المبدوء بتاء الخطاب لقراءة</w:t>
      </w:r>
      <w:r w:rsidRPr="008D04CB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فَبِذَلِكَ فَلْتفْرَحُوا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D04CB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[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يونس: 58] كما احتج أيضًا على إدخالها على المبدوء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بالقراءة المتواترة</w:t>
      </w:r>
      <w:r w:rsidRPr="008D04CB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8D04CB">
        <w:rPr>
          <w:rFonts w:ascii="QCF_P397" w:hAnsi="QCF_P397" w:cs="QCF_P397"/>
          <w:b/>
          <w:bCs/>
          <w:sz w:val="18"/>
          <w:szCs w:val="18"/>
          <w:rtl/>
        </w:rPr>
        <w:t>ﮭ ﮮ</w:t>
      </w:r>
      <w:r w:rsidRPr="008D04CB">
        <w:rPr>
          <w:rFonts w:ascii="QCF_P397" w:hAnsi="QCF_P397" w:cs="DecoType Thuluth"/>
          <w:b/>
          <w:bCs/>
          <w:sz w:val="18"/>
          <w:szCs w:val="18"/>
          <w:rtl/>
        </w:rPr>
        <w:t>}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العنكبوت: 12]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واحتج على صحة قول من قال: إن الله، أصلها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لا</w:t>
      </w:r>
      <w:r w:rsidRPr="008D04CB">
        <w:rPr>
          <w:rFonts w:ascii="Simplified Arabic" w:hAnsi="Simplified Arabic" w:cs="AL-Hotham" w:hint="cs"/>
          <w:b/>
          <w:bCs/>
          <w:sz w:val="18"/>
          <w:szCs w:val="18"/>
          <w:rtl/>
        </w:rPr>
        <w:t>ه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، لما قرئ شاذ</w:t>
      </w:r>
      <w:r w:rsidRPr="008D04CB">
        <w:rPr>
          <w:rFonts w:ascii="Simplified Arabic" w:hAnsi="Simplified Arabic" w:cs="AL-Hotham" w:hint="cs"/>
          <w:b/>
          <w:bCs/>
          <w:sz w:val="18"/>
          <w:szCs w:val="18"/>
          <w:rtl/>
        </w:rPr>
        <w:t>ًّ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وهو الذي في السماء لا</w:t>
      </w:r>
      <w:r w:rsidRPr="008D04CB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ه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وفي الأرض لا</w:t>
      </w:r>
      <w:r w:rsidRPr="008D04CB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ه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8D04CB" w:rsidRPr="008D04CB" w:rsidRDefault="008D04CB" w:rsidP="008D04CB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وقد سبقه أبو حيان؛ إذ ذهب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إلى أن القراءات كلها جاءت على لغة العرب فقال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والقراءات جاءت على لغة العرب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قياسها وشاذها، فليست القراءة السبعية وحدها مصدرًا من مصادر لهجات القبائل، بل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شاركتها القراءات العشر وما فوقها، والقراءات الشاذة كذلك، إلا أن الاستشهاد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بالقراءات المتواترة غير المخالفة للقياس سار عليه البصريون، كما سار عليه الكوفيون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8D04CB" w:rsidRPr="008D04CB" w:rsidRDefault="008D04CB" w:rsidP="008D04CB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أما الاحتجاج بالقراءات الشاذة والقياس عليها، واعتبارها أصلًا من أصول الاستشهاد؛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فهو ليس من منهج البصريين؛ لأنهم لم يكونوا يعتبرون من القراءات حجة إلا ما كان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موافقًا لقواعدهم وأقيستهم وأصولهم المقررة، فإن خالفها ردوها علمًا بأن أوائل النحاة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البصريين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الذين أرسوا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قواعد النحو كانوا قراء،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أمثال: أبي الأسود الدؤلي، وعيسى بن عمر الثقفي، وعبد الله بن إسحاق الحضرمي، وأبي عمرو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بن العلاء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8D04CB" w:rsidRPr="008D04CB" w:rsidRDefault="008D04CB" w:rsidP="008D04CB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</w:pP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وبذا نرى أن المتأخرين من علماء البصرة هم الذين أنكروا بعض القراءات؛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لأنهم وجدوها تصطدم بالقواعد التي وضعوها، والأولى أن تخضع القاعدة للقراءة لا العكس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D04CB" w:rsidRPr="008D04CB" w:rsidRDefault="008D04CB" w:rsidP="008D04CB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إذن موقف النحاة من القراءات يتلخص فيما يلي: معظم النحاة البصريين لا يحتجون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بالقراءات إلا حينما تتفق مع أصولهم وتتلاءم مع قواعدهم، فهم ينظرون إليها نظرة حذر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وحيطة، ويبدو أن هذا راجع إلى اعتقادهم بأن هذه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القراءات آراء تنبثق من أصحابها،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وليست متواترة عن رسول الله </w:t>
      </w:r>
      <w:r w:rsidRPr="008D04CB">
        <w:rPr>
          <w:rFonts w:ascii="AGA Arabesque" w:hAnsi="AGA Arabesque" w:cs="Simplified Arabic"/>
          <w:b/>
          <w:bCs/>
          <w:position w:val="-4"/>
          <w:sz w:val="18"/>
          <w:szCs w:val="18"/>
        </w:rPr>
        <w:t>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. يقول الإمام الزركشي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والتحقيق أنها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متواترة عن الأئمة السبعة،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أما تواترها عن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النبي </w:t>
      </w:r>
      <w:r w:rsidRPr="008D04CB">
        <w:rPr>
          <w:rFonts w:ascii="AGA Arabesque" w:hAnsi="AGA Arabesque" w:cs="Simplified Arabic"/>
          <w:b/>
          <w:bCs/>
          <w:position w:val="-4"/>
          <w:sz w:val="18"/>
          <w:szCs w:val="18"/>
        </w:rPr>
        <w:t>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ففيه نظر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8D04CB" w:rsidRPr="008D04CB" w:rsidRDefault="008D04CB" w:rsidP="008D04CB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وينقل ابن الجزري عن أبي شامة </w:t>
      </w:r>
      <w:r w:rsidRPr="008D04CB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رحمه الله تعالى</w:t>
      </w:r>
      <w:r w:rsidRPr="008D04CB">
        <w:rPr>
          <w:rFonts w:ascii="Simplified Arabic" w:hAnsi="Simplified Arabic" w:cs="Traditional Arabic"/>
          <w:b/>
          <w:bCs/>
          <w:sz w:val="18"/>
          <w:szCs w:val="18"/>
          <w:rtl/>
          <w:lang w:bidi="ar-EG"/>
        </w:rPr>
        <w:t>-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قوله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فلا ينبغي أن يغتر بكل قراءة تعزى إلى واحد من هؤلاء الأئمة السبعة، ويطلق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عليها لفظ الصحة، وإنها هكذا أنزلت، إلا إذا دخلت في ذلك الضابط، وحينئذ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لا ينفرد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بنقلها مصنف عن غيره، ولا يختص ذلك بنقلها عنه، بل إن نقلت عن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غيرهم من القراء، فذلك لا يخرجها عن الصحة، فإن الاعتماد على استجماع تلك الأوصاف لا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عمن تنسب إليه، فإن القراءات المنسوبة إلى كل قارئ من السبعة وغيرهم منقسمة إلى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المجمع عليه والشاذ، غير أن هؤلاء السبعة </w:t>
      </w:r>
      <w:r w:rsidRPr="008D04CB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لشهرتهم وكثرة الصحيح المجتمع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عليه في قراءاتهم</w:t>
      </w:r>
      <w:r w:rsidRPr="008D04CB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تركن النفس إلى ما نقل عنهم فوق ما ينقل عن غيرهم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8D04CB" w:rsidRPr="008D04CB" w:rsidRDefault="008D04CB" w:rsidP="008D04CB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ومن أجل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ذلك تشدد معظم النحاة من علماء البصرة في قبول القراءات، حتى القراءات السبع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المنسوبة إلى ابن عامر مقرئ أهل الشام، وحمزة بن حبيب الزيات مقرئ أهل الكوفة، ونافع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بن أبي رويم مقرئ أهل المدينة، فقد رفض أهل الكوفة بعض قراءتهم؛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لأنها لا تتفق مع مقاييسهم وأصولهم التي وضعوها وكان يعوزها الاستقرار، من هنا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فقد غلطوا ابن عامر في قراءة قوله تعالى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وَكَذَلِكَ زُيِّنَ لِكَثِيرٍ مِنَ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الْمُشْرِكِينَ قَتْل أَوْلَاد</w:t>
      </w:r>
      <w:r w:rsidRPr="008D04CB">
        <w:rPr>
          <w:rFonts w:ascii="Simplified Arabic" w:hAnsi="Simplified Arabic" w:cs="AL-Hotham" w:hint="cs"/>
          <w:b/>
          <w:bCs/>
          <w:sz w:val="18"/>
          <w:szCs w:val="18"/>
          <w:rtl/>
        </w:rPr>
        <w:t>َ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هِمْ شُرَكَا</w:t>
      </w:r>
      <w:r w:rsidRPr="008D04CB">
        <w:rPr>
          <w:rFonts w:ascii="Simplified Arabic" w:hAnsi="Simplified Arabic" w:cs="AL-Hotham" w:hint="cs"/>
          <w:b/>
          <w:bCs/>
          <w:sz w:val="18"/>
          <w:szCs w:val="18"/>
          <w:rtl/>
        </w:rPr>
        <w:t>ئِ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هُمْ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D04CB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[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الأنعام: 137] بنصب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8D04CB">
        <w:rPr>
          <w:rFonts w:ascii="QCF_P145" w:hAnsi="QCF_P145" w:cs="QCF_P145"/>
          <w:b/>
          <w:bCs/>
          <w:sz w:val="18"/>
          <w:szCs w:val="18"/>
          <w:rtl/>
        </w:rPr>
        <w:t>ﯘ</w:t>
      </w:r>
      <w:r w:rsidRPr="008D04CB">
        <w:rPr>
          <w:rFonts w:ascii="QCF_P145" w:hAnsi="QCF_P145" w:cs="DecoType Thuluth"/>
          <w:b/>
          <w:bCs/>
          <w:sz w:val="18"/>
          <w:szCs w:val="18"/>
          <w:rtl/>
        </w:rPr>
        <w:t>}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وجر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DecoType Thuluth" w:hint="cs"/>
          <w:b/>
          <w:bCs/>
          <w:sz w:val="18"/>
          <w:szCs w:val="18"/>
          <w:rtl/>
        </w:rPr>
        <w:t>{</w:t>
      </w:r>
      <w:r w:rsidRPr="008D04CB">
        <w:rPr>
          <w:rFonts w:ascii="QCF_P145" w:hAnsi="QCF_P145" w:cs="QCF_P145"/>
          <w:b/>
          <w:bCs/>
          <w:sz w:val="18"/>
          <w:szCs w:val="18"/>
          <w:rtl/>
        </w:rPr>
        <w:t>ﯙ</w:t>
      </w:r>
      <w:r w:rsidRPr="008D04CB">
        <w:rPr>
          <w:rFonts w:ascii="Simplified Arabic" w:hAnsi="Simplified Arabic" w:cs="DecoType Thuluth" w:hint="cs"/>
          <w:b/>
          <w:bCs/>
          <w:sz w:val="18"/>
          <w:szCs w:val="18"/>
          <w:rtl/>
        </w:rPr>
        <w:t>}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يقول الزمخشري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وأما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قراءة ابن عامر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قتلُ أولادَهم شركائهم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برفع القتل، ونصب الأولاد، وجر الشركاء على إضافة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القتل إلى الشركاء، والفصل بينهما بغير الظرف؛ فشيء لو كان في مكان الضرورات وهو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الشعر لكان سمجًا مردودًا،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كما س</w:t>
      </w:r>
      <w:r w:rsidRPr="008D04CB">
        <w:rPr>
          <w:rFonts w:ascii="Simplified Arabic" w:hAnsi="Simplified Arabic" w:cs="AL-Hotham" w:hint="cs"/>
          <w:b/>
          <w:bCs/>
          <w:sz w:val="18"/>
          <w:szCs w:val="18"/>
          <w:rtl/>
        </w:rPr>
        <w:t>َ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م</w:t>
      </w:r>
      <w:r w:rsidRPr="008D04CB">
        <w:rPr>
          <w:rFonts w:ascii="Simplified Arabic" w:hAnsi="Simplified Arabic" w:cs="AL-Hotham" w:hint="cs"/>
          <w:b/>
          <w:bCs/>
          <w:sz w:val="18"/>
          <w:szCs w:val="18"/>
          <w:rtl/>
        </w:rPr>
        <w:t>ُ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ج</w:t>
      </w:r>
      <w:r w:rsidRPr="008D04CB">
        <w:rPr>
          <w:rFonts w:ascii="Simplified Arabic" w:hAnsi="Simplified Arabic" w:cs="AL-Hotham" w:hint="cs"/>
          <w:b/>
          <w:bCs/>
          <w:sz w:val="18"/>
          <w:szCs w:val="18"/>
          <w:rtl/>
        </w:rPr>
        <w:t>َ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ور</w:t>
      </w:r>
      <w:r w:rsidRPr="008D04CB">
        <w:rPr>
          <w:rFonts w:ascii="Simplified Arabic" w:hAnsi="Simplified Arabic" w:cs="AL-Hotham" w:hint="cs"/>
          <w:b/>
          <w:bCs/>
          <w:sz w:val="18"/>
          <w:szCs w:val="18"/>
          <w:rtl/>
        </w:rPr>
        <w:t>ُ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دّ</w:t>
      </w:r>
      <w:r w:rsidRPr="008D04CB">
        <w:rPr>
          <w:rFonts w:ascii="Simplified Arabic" w:hAnsi="Simplified Arabic" w:cs="AL-Hotham" w:hint="cs"/>
          <w:b/>
          <w:bCs/>
          <w:sz w:val="18"/>
          <w:szCs w:val="18"/>
          <w:rtl/>
        </w:rPr>
        <w:t>َ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44"/>
        <w:gridCol w:w="546"/>
        <w:gridCol w:w="2043"/>
      </w:tblGrid>
      <w:tr w:rsidR="008D04CB" w:rsidRPr="008D04CB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8D04CB" w:rsidRPr="008D04CB" w:rsidRDefault="008D04CB" w:rsidP="008D04CB">
            <w:pPr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8D04CB">
              <w:rPr>
                <w:rFonts w:cs="AGA Furat Regular" w:hint="cs"/>
                <w:b/>
                <w:bCs/>
                <w:sz w:val="18"/>
                <w:szCs w:val="18"/>
                <w:rtl/>
              </w:rPr>
              <w:t>.... .... .... .... .... ....</w:t>
            </w:r>
            <w:r w:rsidRPr="008D04CB">
              <w:rPr>
                <w:rFonts w:cs="AGA Furat Regular" w:hint="cs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04CB" w:rsidRPr="008D04CB" w:rsidRDefault="008D04CB" w:rsidP="008D04CB">
            <w:pPr>
              <w:jc w:val="center"/>
              <w:rPr>
                <w:rFonts w:cs="AL-Hotham"/>
                <w:b/>
                <w:bCs/>
                <w:sz w:val="18"/>
                <w:szCs w:val="18"/>
                <w:rtl/>
              </w:rPr>
            </w:pPr>
            <w:r w:rsidRPr="008D04CB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D04CB" w:rsidRPr="008D04CB" w:rsidRDefault="008D04CB" w:rsidP="008D04CB">
            <w:pPr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8D04CB">
              <w:rPr>
                <w:rFonts w:cs="AGA Furat Regular"/>
                <w:b/>
                <w:bCs/>
                <w:sz w:val="18"/>
                <w:szCs w:val="18"/>
                <w:rtl/>
              </w:rPr>
              <w:t>زج ال</w:t>
            </w:r>
            <w:r w:rsidRPr="008D04CB">
              <w:rPr>
                <w:rFonts w:cs="AGA Furat Regular" w:hint="cs"/>
                <w:b/>
                <w:bCs/>
                <w:sz w:val="18"/>
                <w:szCs w:val="18"/>
                <w:rtl/>
              </w:rPr>
              <w:t>ق</w:t>
            </w:r>
            <w:r w:rsidRPr="008D04CB">
              <w:rPr>
                <w:rFonts w:cs="AGA Furat Regular"/>
                <w:b/>
                <w:bCs/>
                <w:sz w:val="18"/>
                <w:szCs w:val="18"/>
                <w:rtl/>
              </w:rPr>
              <w:t>لوص أبي مزاده</w:t>
            </w:r>
            <w:r w:rsidRPr="008D04CB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8D04CB" w:rsidRPr="008D04CB" w:rsidRDefault="008D04CB" w:rsidP="008D04CB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فكيف به في الكلام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المنثور؟! فكيف به في القرآن المعجز بحسن نظمه وجزالته؟!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".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وقد رد ابن المنير صاحب كتاب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(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الانتصاف) على الزمخشري، فقال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هذا كله ما ترى ظن من الزمخشري أن ابن عامر قرأ قراءته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هذه رأيًا منه،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وكان الصواب خلافه، والفصيح سواه، ولم يعلم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الزمخشري أن هذه القراءة بنصب الأولاد والفصل بين المضاف والمضاف إليه، بها يعلم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ضرورة أن النبي </w:t>
      </w:r>
      <w:r w:rsidRPr="008D04CB">
        <w:rPr>
          <w:rFonts w:ascii="AGA Arabesque" w:hAnsi="AGA Arabesque" w:cs="Simplified Arabic"/>
          <w:b/>
          <w:bCs/>
          <w:position w:val="-4"/>
          <w:sz w:val="18"/>
          <w:szCs w:val="18"/>
        </w:rPr>
        <w:t>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قرأها على جبريل، كما أنزلها عليه كذلك، ثم تلاها النبي </w:t>
      </w:r>
      <w:r w:rsidRPr="008D04CB">
        <w:rPr>
          <w:rFonts w:ascii="AGA Arabesque" w:hAnsi="AGA Arabesque" w:cs="Simplified Arabic"/>
          <w:b/>
          <w:bCs/>
          <w:position w:val="-4"/>
          <w:sz w:val="18"/>
          <w:szCs w:val="18"/>
        </w:rPr>
        <w:t>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على عدد التواتر من الأئمة، ولم يزل عدد التواتر يتناقلونها ويقرءون بها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خلفًا عن سلف، إلى أن انتهت إلى ابن عامر، فقرأها أيضًا كما سمعها، فهذا معتقد أهل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الحق في جميع الوجوه السبعة،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أنها متواترة جملةً وتفصيلًا عن أفصح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من نطق بالضاد </w:t>
      </w:r>
      <w:r w:rsidRPr="008D04CB">
        <w:rPr>
          <w:rFonts w:ascii="AGA Arabesque" w:hAnsi="AGA Arabesque" w:cs="Simplified Arabic"/>
          <w:b/>
          <w:bCs/>
          <w:position w:val="-4"/>
          <w:sz w:val="18"/>
          <w:szCs w:val="18"/>
        </w:rPr>
        <w:t>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D04CB" w:rsidRPr="008D04CB" w:rsidRDefault="008D04CB" w:rsidP="008D04CB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فإذا علمت العقيدة الصحيحة فلا مبالاة بعدها بقول الزمخشري، ولا بقول أمثاله ممن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لحن ابن عامر، وظن أن القراءة بالرأي غير موقوفة على النقل، والحامل هو التغالي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في اعتقاد أطراد الأقيسة النحوية،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فظنها قطعية حتى يرد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ما يخالفه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".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يضاف إلى هذا أن ابن عامر إمام من أعلام القراء وكبار التابعين تلقى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القراءة عن كبار الصحابة؛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كعثمان بن عفان وغيره من كبار التابعين، وهو يعد من صميم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العرب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الذين يحتج بكلامهم، وقد تلقى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قراءته هذه عن الأثبات وتلقاها عنه المئات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D04CB" w:rsidRPr="008D04CB" w:rsidRDefault="008D04CB" w:rsidP="008D04CB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كما غلطوا حمزة بن حبيب الزيات في قراءة قوله تعالى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وَاتَّقُوا اللَّهَ الَّذِي تَسَاءَلُونَ بِهِ وَالْأَرْحَامِ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D04CB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[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النساء: 1] بكسر الميم؛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لأنهم لا يجيزون العطف على الضمير المجرور إلا بإعادة الجار إلا في ضرورة قبيحة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يقول الزجاج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القراءة الجيدة نصب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8D04CB">
        <w:rPr>
          <w:rFonts w:ascii="QCF_P077" w:hAnsi="QCF_P077" w:cs="QCF_P077"/>
          <w:b/>
          <w:bCs/>
          <w:sz w:val="18"/>
          <w:szCs w:val="18"/>
          <w:rtl/>
        </w:rPr>
        <w:t>ﭨ</w:t>
      </w:r>
      <w:r w:rsidRPr="008D04CB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}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المعنى: واتقوا الأرحام أن تقطعوها، فأما الجر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في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الأرحام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فخطأ في العربية لا يجوز في اضطرار شعر،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وخطأ أيضًا في أمر الدين عظيم؛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لأن النبي </w:t>
      </w:r>
      <w:r w:rsidRPr="008D04CB">
        <w:rPr>
          <w:rFonts w:ascii="AGA Arabesque" w:hAnsi="AGA Arabesque" w:cs="Simplified Arabic"/>
          <w:b/>
          <w:bCs/>
          <w:position w:val="-4"/>
          <w:sz w:val="18"/>
          <w:szCs w:val="18"/>
        </w:rPr>
        <w:t>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قال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((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لا تحلفوا بآبائكم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))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فكيف يكون تساءلون به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وبالرحم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على ذاك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8D04CB" w:rsidRPr="008D04CB" w:rsidRDefault="008D04CB" w:rsidP="008D04CB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ويقول الزمخشري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وقرئ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8D04CB">
        <w:rPr>
          <w:rFonts w:ascii="QCF_P077" w:hAnsi="QCF_P077" w:cs="QCF_P077"/>
          <w:b/>
          <w:bCs/>
          <w:sz w:val="18"/>
          <w:szCs w:val="18"/>
          <w:rtl/>
        </w:rPr>
        <w:t>ﭨ</w:t>
      </w:r>
      <w:r w:rsidRPr="008D04CB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}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بالحركات الثلاث، فالنصب على وجهين: إما على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واتقوا الله والأرحام، أو أن يعطف على محل الجر والمجرور كقولك: مررت بزيد وعمرًا،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وينصره قراءة ابن مسعود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تساءلون به وبالأرحام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، والجر على عطف الظاهر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على المضمر وليس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بسديد؛ لأن الضمير المتصل متصل كاسمه، والجار والمجرور كشيء واحد، والرفع على أنه مبتدأ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خبره محذوف كأنه قيل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والأرحامُ كذلك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".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وأنكر هذه القراءة المبرد لدرجة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أنه حرم القراءة بها فيقول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لو صليت خلف إمام يقرأ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واتقوا الله الذي تساءلون به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والأرحامِ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بالجر لأخذت نعلي ومضيت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8D04CB" w:rsidRPr="008D04CB" w:rsidRDefault="008D04CB" w:rsidP="008D04CB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وقراءة ابن الزيات بجر كلمة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8D04CB">
        <w:rPr>
          <w:rFonts w:ascii="QCF_P077" w:hAnsi="QCF_P077" w:cs="QCF_P077"/>
          <w:b/>
          <w:bCs/>
          <w:sz w:val="18"/>
          <w:szCs w:val="18"/>
          <w:rtl/>
        </w:rPr>
        <w:t>ﭨ</w:t>
      </w:r>
      <w:r w:rsidRPr="008D04CB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}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يوجهها ابن جني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فيقول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لحمزة أن يقول لأبي العباس: إنني لم أحمل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8D04CB">
        <w:rPr>
          <w:rFonts w:ascii="QCF_P077" w:hAnsi="QCF_P077" w:cs="QCF_P077"/>
          <w:b/>
          <w:bCs/>
          <w:sz w:val="18"/>
          <w:szCs w:val="18"/>
          <w:rtl/>
        </w:rPr>
        <w:t>ﭨ</w:t>
      </w:r>
      <w:r w:rsidRPr="008D04CB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}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على العطف على المجرور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المضمر، بل اعتقدت أن تكون فيه باء ثانية كأني قلت: وبالأرحام ثم حذفت الباء لتقدم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ذكرها، ويقول: ليست هذه القراءة عندنا من الإبعاد والفحش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والشناعة والضعف، على ما رآه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فيها وذهب إليه أبو العباس، بل الأمر فيها دون ذلك وأقرب وأخف وألطف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". </w:t>
      </w:r>
    </w:p>
    <w:p w:rsidR="008D04CB" w:rsidRPr="008D04CB" w:rsidRDefault="008D04CB" w:rsidP="008D04CB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ويقول الفخر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الرازي مدافع</w:t>
      </w:r>
      <w:r w:rsidRPr="008D04CB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 عن هذه القراءة المتواترة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واعلم أن هذه الوجوه ليست وجوهًا قوية في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دفع الروايات الواردة في اللغات؛ وذلك لأن حمزة أحد القراء السبعة، والظاهر أنه لم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يأت بهذه القراءة من عند نفسه، بل رواها عن رسول الله </w:t>
      </w:r>
      <w:r w:rsidRPr="008D04CB">
        <w:rPr>
          <w:rFonts w:ascii="AGA Arabesque" w:hAnsi="AGA Arabesque" w:cs="Simplified Arabic"/>
          <w:b/>
          <w:bCs/>
          <w:position w:val="-4"/>
          <w:sz w:val="18"/>
          <w:szCs w:val="18"/>
        </w:rPr>
        <w:t>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وذلك يوجب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القطع بصحة هذه اللغة، والقياس يتضاءل عند السماع لا سيما بمثل تلك الأقيسة التي هي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أوهن من بيت العنكبوت، وأيضًا فلهذه القراءة وجهان؛ أحدهما: أنها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على تقدير تكرير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الجار كأنه قيل: تساءلون به وبالأرحام، وثانيها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أنه ورد ذلك في الشعر، وأنشد سيبويه في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ذلك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15"/>
        <w:gridCol w:w="540"/>
        <w:gridCol w:w="1978"/>
      </w:tblGrid>
      <w:tr w:rsidR="008D04CB" w:rsidRPr="008D04CB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8D04CB" w:rsidRPr="008D04CB" w:rsidRDefault="008D04CB" w:rsidP="008D04CB">
            <w:pPr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8D04CB">
              <w:rPr>
                <w:rFonts w:cs="AGA Furat Regular"/>
                <w:b/>
                <w:bCs/>
                <w:sz w:val="18"/>
                <w:szCs w:val="18"/>
                <w:rtl/>
              </w:rPr>
              <w:t>فاليوم قد بت تهجونا وتشتمنا</w:t>
            </w:r>
            <w:r w:rsidRPr="008D04CB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04CB" w:rsidRPr="008D04CB" w:rsidRDefault="008D04CB" w:rsidP="008D04CB">
            <w:pPr>
              <w:jc w:val="center"/>
              <w:rPr>
                <w:rFonts w:cs="AL-Hotham"/>
                <w:b/>
                <w:bCs/>
                <w:sz w:val="18"/>
                <w:szCs w:val="18"/>
                <w:rtl/>
              </w:rPr>
            </w:pPr>
            <w:r w:rsidRPr="008D04CB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D04CB" w:rsidRPr="008D04CB" w:rsidRDefault="008D04CB" w:rsidP="008D04CB">
            <w:pPr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8D04CB">
              <w:rPr>
                <w:rFonts w:cs="AGA Furat Regular"/>
                <w:b/>
                <w:bCs/>
                <w:sz w:val="18"/>
                <w:szCs w:val="18"/>
                <w:rtl/>
              </w:rPr>
              <w:t>فاذهب فما بك والأيامِ من عجب</w:t>
            </w:r>
            <w:r w:rsidRPr="008D04CB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8D04CB" w:rsidRPr="008D04CB" w:rsidRDefault="008D04CB" w:rsidP="008D04CB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وأنشد أيضًا: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18"/>
        <w:gridCol w:w="537"/>
        <w:gridCol w:w="1978"/>
      </w:tblGrid>
      <w:tr w:rsidR="008D04CB" w:rsidRPr="008D04CB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8D04CB" w:rsidRPr="008D04CB" w:rsidRDefault="008D04CB" w:rsidP="008D04CB">
            <w:pPr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8D04CB">
              <w:rPr>
                <w:rFonts w:cs="AGA Furat Regular"/>
                <w:b/>
                <w:bCs/>
                <w:sz w:val="18"/>
                <w:szCs w:val="18"/>
                <w:rtl/>
              </w:rPr>
              <w:t>نعلق في مثل السواري سيوفنا</w:t>
            </w:r>
            <w:r w:rsidRPr="008D04CB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04CB" w:rsidRPr="008D04CB" w:rsidRDefault="008D04CB" w:rsidP="008D04CB">
            <w:pPr>
              <w:jc w:val="center"/>
              <w:rPr>
                <w:rFonts w:cs="AL-Hotham"/>
                <w:b/>
                <w:bCs/>
                <w:sz w:val="18"/>
                <w:szCs w:val="18"/>
                <w:rtl/>
              </w:rPr>
            </w:pPr>
            <w:r w:rsidRPr="008D04CB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D04CB" w:rsidRPr="008D04CB" w:rsidRDefault="008D04CB" w:rsidP="008D04CB">
            <w:pPr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8D04CB">
              <w:rPr>
                <w:rFonts w:cs="AGA Furat Regular"/>
                <w:b/>
                <w:bCs/>
                <w:sz w:val="18"/>
                <w:szCs w:val="18"/>
                <w:rtl/>
              </w:rPr>
              <w:t>وما بينها والكعب غَوْط نفانف</w:t>
            </w:r>
            <w:r w:rsidRPr="008D04CB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8D04CB" w:rsidRPr="008D04CB" w:rsidRDefault="008D04CB" w:rsidP="008D04CB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والعجب من هؤلاء النحاة أنهم يستحسنون هذه اللغة بهذين البيتين المجهولين، ولا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يستحسنون إثباتها بقراءة حمزة ومجاهد، مع أنهما كانا من علماء السلف في علم القرآن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".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وذهبوا أيضًا إلى تغليطهم نافعًا في قراءة قوله تعالى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لَكُمْ فِيهَا مَعَائشَ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D04CB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[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الحجر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20]</w:t>
      </w:r>
      <w:r w:rsidRPr="008D04CB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؛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لأنهم كانوا يرون أنها إذا كانت المد أصلي</w:t>
      </w:r>
      <w:r w:rsidRPr="008D04CB">
        <w:rPr>
          <w:rFonts w:ascii="Simplified Arabic" w:hAnsi="Simplified Arabic" w:cs="AL-Hotham" w:hint="cs"/>
          <w:b/>
          <w:bCs/>
          <w:sz w:val="18"/>
          <w:szCs w:val="18"/>
          <w:rtl/>
        </w:rPr>
        <w:t>ًّ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 امتنع قلب همزته مثل مصايب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ومعايش، فلا يقال فيها: مصائب ومعايش. يقول الزجاج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وأكثر القراء على ترك الهمز في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8D04CB">
        <w:rPr>
          <w:rFonts w:ascii="QCF_P151" w:hAnsi="QCF_P151" w:cs="QCF_P151"/>
          <w:b/>
          <w:bCs/>
          <w:sz w:val="18"/>
          <w:szCs w:val="18"/>
          <w:rtl/>
        </w:rPr>
        <w:t>ﯗ</w:t>
      </w:r>
      <w:r w:rsidRPr="008D04CB">
        <w:rPr>
          <w:rFonts w:ascii="QCF_P151" w:hAnsi="QCF_P151" w:cs="DecoType Thuluth"/>
          <w:b/>
          <w:bCs/>
          <w:sz w:val="18"/>
          <w:szCs w:val="18"/>
          <w:rtl/>
        </w:rPr>
        <w:t>}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وقد رووها عن نافع مهموزة، وجميع النحويين البصريين يزعمون أن همزه خطأ، وذكروا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أن الهمز إنما يكون في هذه الياء إذا كانت زائدة نحو: صحيفة وصحائف، أما معيشة فمن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العيش والياء أصلية، وصحيفة من الصحف لأن الياء زائدة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8D04CB" w:rsidRPr="008D04CB" w:rsidRDefault="008D04CB" w:rsidP="008D04CB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قال الإمام السيوطي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كان قوم من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النحاة المتقدمين يعيبون على عاصم، وحمزة، وابن عامر قراءات بعيدة في العربية،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وينسبونهم إلى اللحن، وهم مخطئون في ذلك؛ فإن قراءتهم ثابتة بالأسانيد المتواترة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الصحيحة التي لا مطعن فيها، وثبوت ذلك دليل على جوازه في العربية،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وإذا كان من البصريين أنفسهم من يعارض ويرد ويرفض، فإن منهم كذلك من يقبل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القراءة، ويأخذ منها ويستدل بها، فسيبويه يرى في القراءة أنها سنة ويجب اتباعها، وكان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من نحاة البصرة من هم قراء مشهورون، وذلك مثل أبي عمرو بن العلاء البصري وهو من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القراء السبعة، وأبي يعقوب بن إسحاق الحضرمي، وهو من القراء العشرة، وكذلك عيسى بن عمر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D04CB" w:rsidRPr="008D04CB" w:rsidRDefault="008D04CB" w:rsidP="008D04CB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ويعد هؤلاء الثلاثة من مؤسسي علم النحو، وواضعي أركانه، كما أنهم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أبرز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علماء البصرة كسيبويه والخليل، ووجود بعض القراء المشاهير بالإضافة إلى كونهم نحاة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كبارًا في صفوف البصريين، وتتلمذ مشاهير النحاة البصريين عليهم</w:t>
      </w:r>
      <w:r w:rsidRPr="008D04CB">
        <w:rPr>
          <w:rFonts w:ascii="Simplified Arabic" w:hAnsi="Simplified Arabic" w:cs="AL-Hotham" w:hint="cs"/>
          <w:b/>
          <w:bCs/>
          <w:sz w:val="18"/>
          <w:szCs w:val="18"/>
          <w:rtl/>
        </w:rPr>
        <w:t>: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يدل دلالة قاطعة على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أن المذهب البصري </w:t>
      </w:r>
      <w:r w:rsidRPr="008D04CB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وبخاصة بالنسبة لعلمائه الأوائل</w:t>
      </w:r>
      <w:r w:rsidRPr="008D04CB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لم يكن بمنأى عن القراءات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والاعتماد عليها، أو لم يقفوا على الأقل حيالها موقف من جاء من بعدهم من مصري القرن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الثالث؛ إذ لا يسأل مثلًا أن يأخذ الكوفيون بقراءة أبي عمرو بن العلاء، في حين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أن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تلاميذه من البصريين يتحرزون عنها ويبتعدون، أما الكوفيون فإنهم بنوا قواعدهم على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التساهل والمرونة؛ ولذلك نجدهم يستدلون بالقراءات الشاذة، وبالبيت الذي لم يعرف قائله،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وبالكلمة الواردة عن العرب التي لم يعرف قائلها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8D04CB" w:rsidRPr="008D04CB" w:rsidRDefault="008D04CB" w:rsidP="008D04CB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يقول الدكتور مهدي المخزومي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والقراءات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مصدر </w:t>
      </w:r>
      <w:r w:rsidRPr="008D04CB">
        <w:rPr>
          <w:rFonts w:ascii="Simplified Arabic" w:hAnsi="Simplified Arabic" w:cs="AL-Hotham" w:hint="cs"/>
          <w:b/>
          <w:bCs/>
          <w:sz w:val="18"/>
          <w:szCs w:val="18"/>
          <w:rtl/>
        </w:rPr>
        <w:t>م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هم من مصادر النحو الكوفي، ولكن البصريين كانوا قد وقفوا منها موقفهم من سائر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النصوص اللغوية، وأخضعوها لأصولهم وأقيستهم، فما وافق منها أصولهم ولو بالتأويل قبلوه،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وما أباها رفضوا الاحتجاج به ووصفوه بالشذوذ، كما رفضوا الاحتجاج بكثير من الروايات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اللغوية، وعدوها شاذة تحفظ، ولا يقاس عليها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". </w:t>
      </w:r>
    </w:p>
    <w:p w:rsidR="008D04CB" w:rsidRPr="008D04CB" w:rsidRDefault="008D04CB" w:rsidP="008D04CB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والخلاصة أن الكوفيين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نظروا إلى القراءات نظرة تختلف عن نظرة البصريين؛ فقد أخذوا من القراءات جميعًا؛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لأنها في نظرهم يجب أن تشتق منها المقاييس وتستمد الأصول، ومنهجهم هذا يعد منهجًا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سليمًا؛ لأنه يثري اللغة ويزيد من رصيدها ويجعلها غنية بأساليبها على الدوام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D04CB" w:rsidRPr="008D04CB" w:rsidRDefault="008D04CB" w:rsidP="008D04CB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ومن أجل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ذلك قبلوا قراءة ابن عامر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8D04CB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8D04CB">
        <w:rPr>
          <w:rFonts w:ascii="QCF_P145" w:hAnsi="QCF_P145" w:cs="QCF_P145"/>
          <w:b/>
          <w:bCs/>
          <w:sz w:val="18"/>
          <w:szCs w:val="18"/>
          <w:rtl/>
        </w:rPr>
        <w:t>ﮱ ﯓ ﯔ ﯕ ﯖ</w:t>
      </w:r>
      <w:r w:rsidRPr="008D04CB">
        <w:rPr>
          <w:rFonts w:ascii="QCF_P145" w:hAnsi="QCF_P145" w:cs="DecoType Thuluth"/>
          <w:b/>
          <w:bCs/>
          <w:sz w:val="18"/>
          <w:szCs w:val="18"/>
          <w:rtl/>
        </w:rPr>
        <w:t>}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الآية، وجوزوا على أساسها الفصل بين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المتضايفين بغير الظرف والجار والمجرور، كما احتجوا بقراءة عبد الله بن مسعود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وَإِذْ أَخَذْنَا مِيثَاقَ بَنِي إِسْرَائِيلَ لَا تَعْبُدُوا إِلَّا اللَّهَ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 [البقرة: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83]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ووضعوا على أساسها قاعدة هي جواز إعمال أنْ في الفعل، وهي محذوفة من غير بدل، في حين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وصف البصريون هذه القراءة بالشذوذ. ورفض البصريون قراءة ابن عامر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وَلَا تَتَّبِعَانِ سَبِيلَ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D04CB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[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يونس: 89] بسكون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النون، واحتج بها الكوفيون في جواز توكيد المسند إلى ألف الاثنين بنون التوكيد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الخفيفة، مع أنها قراءة تفرد بها ابن عامر الشامي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D04CB" w:rsidRPr="008D04CB" w:rsidRDefault="008D04CB" w:rsidP="008D04CB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أما شيوخ هاتين المدرستين من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النحاة المتأخرين؛ فإننا نجد منهم من تطرف ورفض الاستشهاد بالقراءات الشاذة، ومنع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القياس عليها، ومنهم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من توسط بين المدرستين؛ كابن جني الذي لا يرى برأي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إحدى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المدرستين، فهو وإن كان يميل إلى البصريين إلا أنه أكثر منهم اعتدالًا، مع اعتداله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نجده يخطِّئ بعض القراءات ويرى بعضها معيب</w:t>
      </w:r>
      <w:r w:rsidRPr="008D04CB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ا،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من ذلك قوله في </w:t>
      </w:r>
      <w:r w:rsidRPr="008D04CB">
        <w:rPr>
          <w:rFonts w:ascii="Simplified Arabic" w:hAnsi="Simplified Arabic" w:cs="AL-Hotham" w:hint="cs"/>
          <w:b/>
          <w:bCs/>
          <w:sz w:val="18"/>
          <w:szCs w:val="18"/>
          <w:rtl/>
        </w:rPr>
        <w:t>(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خصائصه</w:t>
      </w:r>
      <w:r w:rsidRPr="008D04CB">
        <w:rPr>
          <w:rFonts w:ascii="Simplified Arabic" w:hAnsi="Simplified Arabic" w:cs="AL-Hotham" w:hint="cs"/>
          <w:b/>
          <w:bCs/>
          <w:sz w:val="18"/>
          <w:szCs w:val="18"/>
          <w:rtl/>
        </w:rPr>
        <w:t>)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ومن الأمر الطبيعي الذي لا بد منه، ولا وعي عنه أن يلتقي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الحرفان الصحيحان، فيسكن الأول منهما في </w:t>
      </w:r>
      <w:r w:rsidRPr="008D04CB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الإدراج فلا يكون حينئذ من الإدغام، فأما</w:t>
      </w:r>
      <w:r w:rsidRPr="008D04CB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قراءة عاصم</w:t>
      </w:r>
      <w:r w:rsidRPr="008D04CB">
        <w:rPr>
          <w:rFonts w:ascii="Simplified Arabic" w:hAnsi="Simplified Arabic" w:cs="AL-Hotham" w:hint="cs"/>
          <w:b/>
          <w:bCs/>
          <w:spacing w:val="-4"/>
          <w:sz w:val="18"/>
          <w:szCs w:val="18"/>
          <w:rtl/>
          <w:lang w:bidi="ar-EG"/>
        </w:rPr>
        <w:t>:</w:t>
      </w:r>
      <w:r w:rsidRPr="008D04CB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DecoType Thuluth"/>
          <w:b/>
          <w:bCs/>
          <w:spacing w:val="-4"/>
          <w:sz w:val="18"/>
          <w:szCs w:val="18"/>
          <w:rtl/>
          <w:lang w:bidi="ar-EG"/>
        </w:rPr>
        <w:t>{</w:t>
      </w:r>
      <w:r w:rsidRPr="008D04CB">
        <w:rPr>
          <w:rFonts w:ascii="QCF_P578" w:hAnsi="QCF_P578" w:cs="QCF_P578"/>
          <w:b/>
          <w:bCs/>
          <w:spacing w:val="-4"/>
          <w:sz w:val="18"/>
          <w:szCs w:val="18"/>
          <w:rtl/>
        </w:rPr>
        <w:t>ﭰ ﭱ ﭲ ﭳ</w:t>
      </w:r>
      <w:r w:rsidRPr="008D04CB">
        <w:rPr>
          <w:rFonts w:ascii="QCF_P578" w:hAnsi="QCF_P578" w:cs="DecoType Thuluth"/>
          <w:b/>
          <w:bCs/>
          <w:spacing w:val="-4"/>
          <w:sz w:val="18"/>
          <w:szCs w:val="18"/>
          <w:rtl/>
        </w:rPr>
        <w:t>}</w:t>
      </w:r>
      <w:r w:rsidRPr="008D04CB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[</w:t>
      </w:r>
      <w:r w:rsidRPr="008D04CB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القيامة: 27]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ببيان النون مِن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8D04CB">
        <w:rPr>
          <w:rFonts w:ascii="QCF_P578" w:hAnsi="QCF_P578" w:cs="QCF_P578"/>
          <w:b/>
          <w:bCs/>
          <w:sz w:val="18"/>
          <w:szCs w:val="18"/>
          <w:rtl/>
        </w:rPr>
        <w:t>ﭱ</w:t>
      </w:r>
      <w:r w:rsidRPr="008D04CB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}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فمعيب في الإعراب، معيب في الأسماع، فإن كان ارتكب ذلك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ووقف على النون الصحيحة غير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مدغمة؛ لينبه على انفصال المبتدأ من خبره فغير مرضي أيضًا"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D04CB" w:rsidRPr="008D04CB" w:rsidRDefault="008D04CB" w:rsidP="008D04CB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أما أبو حيان الأندلسي فقد وقف موقفًا متوسطًا بين المدرستين، فلم يتشدد تشدد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البصريين، فيرفض كل ما خالف القواعد والأقيسة التي بنوها، ولم يتساهل تساهل الكوفيين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وابن مالك، فيعتمد على الشاذ منها، أو على ما تفرد بقراءته شخص لا يعرف عن القراءة شيئًا،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وكان يعتمد على صحة القراءة وتواترها، فهو يرى أن القراءات قد جاءت على لغة العرب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قياسها وشاذها، ولكن لا يجوز أن يأخذ بجميعها، إنما يجب الأخذ بما صحت رواياته منها،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لذلك نجده يأخذ بقراءة الأئمة العشرة، ويعتمد عليها، ويبني القاعدة على ما وردت به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هذه القراءة، حتى ولو كانت مخالفة لنصوص النحاة البصريين وأقيستهم؛ لأن القراء عرب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أقحاح عدول ثقات تلقى أكثرهم القراءة عن الصحابة، كما أنه لا يرجح بين القراءات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المتواترة، إنما يأخذ بكل منها مقتديًا في ذلك بثعلب أحد أئمة الكوفيين، الذي لم يكن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يجيز الترجيح بين القراءات المتواترة، وكذلك احتج بقراءة ابن عباس، وطلحة، والحسن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</w:rPr>
        <w:t>البصري، وابن أبي إسحاق</w:t>
      </w:r>
      <w:r w:rsidRPr="008D04C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8D04CB" w:rsidRPr="008D04CB" w:rsidRDefault="008D04CB" w:rsidP="008D04CB">
      <w:pPr>
        <w:pStyle w:val="NormalWeb"/>
        <w:bidi/>
        <w:spacing w:before="0" w:beforeAutospacing="0" w:after="0" w:afterAutospacing="0"/>
        <w:jc w:val="center"/>
        <w:rPr>
          <w:rFonts w:ascii="Simplified Arabic" w:hAnsi="Simplified Arabic" w:cs="AL-Hotham"/>
          <w:b/>
          <w:bCs/>
          <w:sz w:val="18"/>
          <w:szCs w:val="18"/>
          <w:rtl/>
        </w:rPr>
      </w:pPr>
    </w:p>
    <w:p w:rsidR="008D04CB" w:rsidRPr="008D04CB" w:rsidRDefault="008D04CB" w:rsidP="008D04CB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8D04CB" w:rsidRPr="008D04CB" w:rsidRDefault="008D04CB" w:rsidP="008D04CB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D04CB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8D04CB" w:rsidRPr="008D04CB" w:rsidRDefault="008D04CB" w:rsidP="008D04C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D04C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8D04CB" w:rsidRPr="008D04CB" w:rsidRDefault="008D04CB" w:rsidP="008D04CB">
      <w:pPr>
        <w:spacing w:after="0" w:line="240" w:lineRule="auto"/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D04CB"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جني،  بتحقيق علي النجدي ناصف وزميليه، القاهرة، طبعة المجلس الأعلى للشئون الإسلامية، 1994م</w:t>
      </w:r>
    </w:p>
    <w:p w:rsidR="008D04CB" w:rsidRPr="008D04CB" w:rsidRDefault="008D04CB" w:rsidP="008D04C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D04C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8D04CB" w:rsidRPr="008D04CB" w:rsidRDefault="008D04CB" w:rsidP="008D04CB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D04CB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8D04CB" w:rsidRPr="008D04CB" w:rsidRDefault="008D04CB" w:rsidP="008D04C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D04C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8D04C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8D04CB" w:rsidRPr="008D04CB" w:rsidRDefault="008D04CB" w:rsidP="008D04CB">
      <w:pPr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D04CB">
        <w:rPr>
          <w:rFonts w:asciiTheme="majorBidi" w:hAnsiTheme="majorBidi" w:cstheme="majorBidi"/>
          <w:b/>
          <w:bCs/>
          <w:sz w:val="18"/>
          <w:szCs w:val="18"/>
          <w:rtl/>
        </w:rPr>
        <w:t>أبو البقاء العكبري،  بتحقيق محمد السيد أحمد عزوز،  عالم الكتب, 1996م</w:t>
      </w:r>
    </w:p>
    <w:p w:rsidR="008D04CB" w:rsidRPr="008D04CB" w:rsidRDefault="008D04CB" w:rsidP="008D04C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D04C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8D04CB" w:rsidRPr="008D04CB" w:rsidRDefault="008D04CB" w:rsidP="008D04CB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D04CB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8D04CB" w:rsidRPr="008D04CB" w:rsidRDefault="008D04CB" w:rsidP="008D04C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D04C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8D04CB" w:rsidRPr="008D04CB" w:rsidRDefault="008D04CB" w:rsidP="008D04CB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D04CB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8D04CB" w:rsidRPr="008D04CB" w:rsidRDefault="008D04CB" w:rsidP="008D04C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D04C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8D04CB" w:rsidRPr="008D04CB" w:rsidRDefault="008D04CB" w:rsidP="008D04CB">
      <w:pPr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D04CB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8D04CB" w:rsidRPr="008D04CB" w:rsidRDefault="008D04CB" w:rsidP="008D04C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D04C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8D04CB" w:rsidRPr="008D04CB" w:rsidRDefault="008D04CB" w:rsidP="008D04CB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D04CB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8D04CB" w:rsidRPr="008D04CB" w:rsidRDefault="008D04CB" w:rsidP="008D04C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D04C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8D04CB" w:rsidRPr="008D04CB" w:rsidRDefault="008D04CB" w:rsidP="008D04CB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D04CB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8D04CB" w:rsidRPr="008D04CB" w:rsidRDefault="008D04CB" w:rsidP="008D04C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D04C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8D04CB" w:rsidRPr="008D04CB" w:rsidRDefault="008D04CB" w:rsidP="008D04CB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D04CB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8D04CB" w:rsidRPr="008D04CB" w:rsidRDefault="008D04CB" w:rsidP="008D04C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D04C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8D04CB" w:rsidRPr="008D04CB" w:rsidRDefault="008D04CB" w:rsidP="008D04CB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D04CB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8D04CB" w:rsidRPr="008D04CB" w:rsidRDefault="008D04CB" w:rsidP="008D04C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D04C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8D04CB" w:rsidRPr="008D04CB" w:rsidRDefault="008D04CB" w:rsidP="008D04CB">
      <w:pPr>
        <w:spacing w:after="0" w:line="240" w:lineRule="auto"/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D04CB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8D04CB" w:rsidRPr="008D04CB" w:rsidRDefault="008D04CB" w:rsidP="008D04C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D04C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8D04CB" w:rsidRPr="008D04CB" w:rsidRDefault="008D04CB" w:rsidP="008D04CB">
      <w:pPr>
        <w:spacing w:after="0" w:line="240" w:lineRule="auto"/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D04CB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8D04CB" w:rsidRPr="008D04CB" w:rsidRDefault="008D04CB" w:rsidP="008D04C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D04C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8D04CB" w:rsidRPr="008D04CB" w:rsidRDefault="008D04CB" w:rsidP="008D04CB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8D04CB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8D04CB" w:rsidRPr="008D04CB" w:rsidRDefault="008D04CB" w:rsidP="008D04CB">
      <w:pPr>
        <w:spacing w:after="0" w:line="240" w:lineRule="auto"/>
        <w:rPr>
          <w:b/>
          <w:bCs/>
          <w:sz w:val="18"/>
          <w:szCs w:val="18"/>
          <w:lang w:bidi="ar-EG"/>
        </w:rPr>
      </w:pPr>
    </w:p>
    <w:p w:rsidR="008D04CB" w:rsidRPr="008D04CB" w:rsidRDefault="008D04CB" w:rsidP="008D04CB">
      <w:pPr>
        <w:spacing w:after="0" w:line="240" w:lineRule="auto"/>
        <w:rPr>
          <w:b/>
          <w:bCs/>
          <w:sz w:val="18"/>
          <w:szCs w:val="18"/>
          <w:lang w:bidi="ar-EG"/>
        </w:rPr>
      </w:pPr>
    </w:p>
    <w:p w:rsidR="008D04CB" w:rsidRPr="008D04CB" w:rsidRDefault="008D04CB" w:rsidP="008D04CB">
      <w:pPr>
        <w:pStyle w:val="NormalWeb"/>
        <w:bidi/>
        <w:spacing w:before="0" w:beforeAutospacing="0" w:after="0" w:afterAutospacing="0" w:line="500" w:lineRule="exact"/>
        <w:jc w:val="center"/>
        <w:rPr>
          <w:rFonts w:ascii="Simplified Arabic" w:hAnsi="Simplified Arabic" w:cs="AL-Hotham"/>
          <w:b/>
          <w:bCs/>
          <w:sz w:val="32"/>
          <w:szCs w:val="32"/>
          <w:rtl/>
        </w:rPr>
        <w:sectPr w:rsidR="008D04CB" w:rsidRPr="008D04CB" w:rsidSect="008D04CB">
          <w:type w:val="continuous"/>
          <w:pgSz w:w="11906" w:h="16838" w:code="9"/>
          <w:pgMar w:top="993" w:right="991" w:bottom="993" w:left="1560" w:header="720" w:footer="720" w:gutter="0"/>
          <w:cols w:num="2" w:space="720"/>
          <w:titlePg/>
          <w:bidi/>
          <w:rtlGutter/>
          <w:docGrid w:linePitch="360"/>
        </w:sectPr>
      </w:pPr>
    </w:p>
    <w:p w:rsidR="008D04CB" w:rsidRPr="008D04CB" w:rsidRDefault="008D04CB" w:rsidP="008D04CB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sectPr w:rsidR="008D04CB" w:rsidRPr="008D04CB" w:rsidSect="004168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ED9" w:rsidRDefault="00B53ED9" w:rsidP="008D04CB">
      <w:pPr>
        <w:spacing w:after="0" w:line="240" w:lineRule="auto"/>
      </w:pPr>
      <w:r>
        <w:separator/>
      </w:r>
    </w:p>
  </w:endnote>
  <w:endnote w:type="continuationSeparator" w:id="1">
    <w:p w:rsidR="00B53ED9" w:rsidRDefault="00B53ED9" w:rsidP="008D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GA Granada Regular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Hotham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QCF_P397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QCF_P145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AGA Furat Regular">
    <w:charset w:val="B2"/>
    <w:family w:val="auto"/>
    <w:pitch w:val="variable"/>
    <w:sig w:usb0="00002001" w:usb1="00000000" w:usb2="00000000" w:usb3="00000000" w:csb0="00000040" w:csb1="00000000"/>
  </w:font>
  <w:font w:name="QCF_P077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151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578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ED9" w:rsidRDefault="00B53ED9" w:rsidP="008D04CB">
      <w:pPr>
        <w:spacing w:after="0" w:line="240" w:lineRule="auto"/>
      </w:pPr>
      <w:r>
        <w:separator/>
      </w:r>
    </w:p>
  </w:footnote>
  <w:footnote w:type="continuationSeparator" w:id="1">
    <w:p w:rsidR="00B53ED9" w:rsidRDefault="00B53ED9" w:rsidP="008D0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6E9" w:rsidRDefault="008B1BB5">
    <w:pPr>
      <w:pStyle w:val="Header"/>
    </w:pPr>
    <w:r>
      <w:rPr>
        <w:noProof/>
        <w:lang w:bidi="ar-SA"/>
      </w:rPr>
      <w:pict>
        <v:group id="_x0000_s1032" style="position:absolute;left:0;text-align:left;margin-left:3.5pt;margin-top:75.5pt;width:333.5pt;height:619.25pt;z-index:251661312" coordorigin="2625,2234" coordsize="6670,12385">
          <v:line id="_x0000_s1033" style="position:absolute" from="2648,14404" to="9269,14404" strokecolor="#95b3d7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8512;top:14165;width:754;height:454" fillcolor="#4f81bd" stroked="f">
            <v:fill color2="fill darken(118)" rotate="t" angle="-135" method="linear sigma" focus="100%" type="gradient"/>
            <v:shadow on="t" type="perspective" opacity=".5" origin=",.5" offset="0,0" matrix=",56756f,,.5"/>
            <v:textbox style="mso-next-textbox:#_x0000_s1034" inset="0,,0">
              <w:txbxContent>
                <w:p w:rsidR="00C326E9" w:rsidRPr="00907733" w:rsidRDefault="008B1BB5" w:rsidP="005E730C">
                  <w:pPr>
                    <w:spacing w:line="280" w:lineRule="exact"/>
                    <w:jc w:val="center"/>
                    <w:rPr>
                      <w:rFonts w:cs="AL-Mateen"/>
                      <w:color w:val="FFFFFF"/>
                      <w:sz w:val="40"/>
                      <w:szCs w:val="40"/>
                      <w:rtl/>
                    </w:rPr>
                  </w:pP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fldChar w:fldCharType="begin"/>
                  </w:r>
                  <w:r w:rsidR="00CA6DC9"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instrText xml:space="preserve"> PAGE </w:instrText>
                  </w: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fldChar w:fldCharType="separate"/>
                  </w:r>
                  <w:r w:rsidR="00CA6DC9">
                    <w:rPr>
                      <w:rStyle w:val="PageNumber"/>
                      <w:rFonts w:cs="AL-Mateen"/>
                      <w:noProof/>
                      <w:color w:val="FFFFFF"/>
                      <w:sz w:val="40"/>
                      <w:szCs w:val="40"/>
                      <w:rtl/>
                    </w:rPr>
                    <w:t>114</w:t>
                  </w: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5305;top:2501;width:3969;height:0;flip:x" o:connectortype="straight" strokecolor="#95b3d7" strokeweight="1pt">
            <v:shadow type="perspective" color="#243f60" opacity=".5" offset="1pt" offset2="-3pt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2625;top:2282;width:2551;height:397" fillcolor="#369" stroked="f">
            <v:shadow on="t" color="#b2b2b2" opacity="52429f" offset="1pt,0" offset2="-4pt,-4pt"/>
            <v:textpath style="font-family:&quot;Al-Mothnna&quot;;v-text-kern:t" trim="t" fitpath="t" string="القراءات الشاذة"/>
          </v:shape>
          <v:rect id="_x0000_s1037" style="position:absolute;left:7594;top:2234;width:1701;height:509" fillcolor="#4f81bd" strokecolor="#f2f2f2" strokeweight="1pt">
            <v:fill color2="#243f60" angle="-135" focusposition="1" focussize="" focus="100%" type="gradient"/>
            <v:shadow on="t" type="perspective" color="#b8cce4" opacity=".5" origin=",.5" offset="0,0" matrix=",56756f,,.5"/>
            <v:textbox style="mso-next-textbox:#_x0000_s1037">
              <w:txbxContent>
                <w:p w:rsidR="00C326E9" w:rsidRPr="00E31343" w:rsidRDefault="00B53ED9" w:rsidP="005E730C">
                  <w:pPr>
                    <w:ind w:left="428"/>
                    <w:rPr>
                      <w:rFonts w:cs="AGA Granada Regular"/>
                      <w:color w:val="FFFFFF"/>
                      <w:sz w:val="36"/>
                      <w:szCs w:val="36"/>
                      <w:rtl/>
                    </w:rPr>
                  </w:pPr>
                </w:p>
              </w:txbxContent>
            </v:textbox>
          </v:rect>
          <v:shape id="_x0000_s1038" type="#_x0000_t136" style="position:absolute;left:7736;top:2330;width:1417;height:317" stroked="f">
            <v:shadow on="t" color="black" opacity="52429f" offset="1pt,0" offset2="-4pt,-4pt"/>
            <v:textpath style="font-family:&quot;AGA Granada Regular&quot;;v-text-kern:t" trim="t" fitpath="t" string="الدرس السادس"/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5122"/>
    <o:shapelayout v:ext="edit">
      <o:idmap v:ext="edit" data="1"/>
      <o:rules v:ext="edit">
        <o:r id="V:Rule2" type="connector" idref="#_x0000_s103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D04CB"/>
    <w:rsid w:val="001A2769"/>
    <w:rsid w:val="003A67CE"/>
    <w:rsid w:val="004168A0"/>
    <w:rsid w:val="004219C3"/>
    <w:rsid w:val="004A286F"/>
    <w:rsid w:val="008B1BB5"/>
    <w:rsid w:val="008D04CB"/>
    <w:rsid w:val="00B53ED9"/>
    <w:rsid w:val="00CA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9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D04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8D04C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D04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HeaderChar">
    <w:name w:val="Header Char"/>
    <w:basedOn w:val="DefaultParagraphFont"/>
    <w:link w:val="Header"/>
    <w:rsid w:val="008D04CB"/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PageNumber">
    <w:name w:val="page number"/>
    <w:basedOn w:val="DefaultParagraphFont"/>
    <w:rsid w:val="008D04CB"/>
  </w:style>
  <w:style w:type="paragraph" w:styleId="Footer">
    <w:name w:val="footer"/>
    <w:basedOn w:val="Normal"/>
    <w:link w:val="FooterChar"/>
    <w:uiPriority w:val="99"/>
    <w:semiHidden/>
    <w:unhideWhenUsed/>
    <w:rsid w:val="008D04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04CB"/>
  </w:style>
  <w:style w:type="character" w:styleId="Hyperlink">
    <w:name w:val="Hyperlink"/>
    <w:basedOn w:val="DefaultParagraphFont"/>
    <w:uiPriority w:val="99"/>
    <w:unhideWhenUsed/>
    <w:rsid w:val="008D04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hmedmsamir5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2065</Words>
  <Characters>11771</Characters>
  <Application>Microsoft Office Word</Application>
  <DocSecurity>0</DocSecurity>
  <Lines>98</Lines>
  <Paragraphs>27</Paragraphs>
  <ScaleCrop>false</ScaleCrop>
  <Company>Fannan</Company>
  <LinksUpToDate>false</LinksUpToDate>
  <CharactersWithSpaces>13809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دريم</cp:lastModifiedBy>
  <cp:revision>2</cp:revision>
  <dcterms:created xsi:type="dcterms:W3CDTF">2013-06-16T14:26:00Z</dcterms:created>
  <dcterms:modified xsi:type="dcterms:W3CDTF">2013-06-17T09:28:00Z</dcterms:modified>
</cp:coreProperties>
</file>