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A3664B" w:rsidP="00A3664B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</w:pPr>
      <w:r w:rsidRPr="00A3664B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حقيقة الاحتجاج للقراءات</w:t>
      </w:r>
    </w:p>
    <w:p w:rsidR="00A3664B" w:rsidRPr="00F7753E" w:rsidRDefault="00A3664B" w:rsidP="00A3664B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A3664B" w:rsidRPr="00426F7E" w:rsidRDefault="00A3664B" w:rsidP="001C2901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1C2901">
        <w:rPr>
          <w:rFonts w:asciiTheme="majorBidi" w:hAnsiTheme="majorBidi" w:cstheme="majorBidi" w:hint="cs"/>
          <w:sz w:val="18"/>
          <w:szCs w:val="18"/>
          <w:rtl/>
        </w:rPr>
        <w:t>شيماء رضا سالم سالم</w:t>
      </w:r>
    </w:p>
    <w:p w:rsidR="00A3664B" w:rsidRPr="00426F7E" w:rsidRDefault="00A3664B" w:rsidP="00A3664B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A3664B" w:rsidRPr="00426F7E" w:rsidRDefault="00A3664B" w:rsidP="00A3664B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A3664B" w:rsidRPr="00426F7E" w:rsidRDefault="00A3664B" w:rsidP="00A3664B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A3664B" w:rsidRDefault="00984707" w:rsidP="001C2901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="001C2901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sh_only_a@yahoo.com</w:t>
        </w:r>
      </w:hyperlink>
    </w:p>
    <w:p w:rsidR="00A3664B" w:rsidRPr="00426F7E" w:rsidRDefault="00A3664B" w:rsidP="00A3664B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A3664B" w:rsidRDefault="00A3664B" w:rsidP="00A3664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A3664B" w:rsidSect="00A3664B">
          <w:pgSz w:w="11906" w:h="16838"/>
          <w:pgMar w:top="851" w:right="849" w:bottom="426" w:left="1800" w:header="708" w:footer="708" w:gutter="0"/>
          <w:cols w:space="708"/>
          <w:bidi/>
          <w:rtlGutter/>
          <w:docGrid w:linePitch="360"/>
        </w:sectPr>
      </w:pPr>
    </w:p>
    <w:p w:rsidR="00A3664B" w:rsidRPr="00A3664B" w:rsidRDefault="00A3664B" w:rsidP="00A3664B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الخلاصة – هذا البحث يبحث فى</w:t>
      </w:r>
      <w:r w:rsidRPr="00A3664B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 حقيقة الاحتجاج للقراءات</w:t>
      </w:r>
    </w:p>
    <w:p w:rsidR="00A3664B" w:rsidRPr="00A3664B" w:rsidRDefault="00A3664B" w:rsidP="00A3664B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A3664B" w:rsidRPr="00A3664B" w:rsidRDefault="00A3664B" w:rsidP="00A3664B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3664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A3664B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فن، القراءات، غضا</w:t>
      </w:r>
    </w:p>
    <w:p w:rsidR="00A3664B" w:rsidRPr="00A3664B" w:rsidRDefault="00A3664B" w:rsidP="00A3664B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A3664B" w:rsidRPr="00A3664B" w:rsidRDefault="00A3664B" w:rsidP="00A3664B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A3664B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حقيقة الاحتجاج للقراءات</w:t>
      </w:r>
    </w:p>
    <w:p w:rsidR="00A3664B" w:rsidRPr="00A3664B" w:rsidRDefault="00A3664B" w:rsidP="00A3664B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3664B" w:rsidRPr="00A3664B" w:rsidRDefault="00A3664B" w:rsidP="00A3664B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A3664B" w:rsidRPr="00A3664B" w:rsidRDefault="00A3664B" w:rsidP="00A3664B">
      <w:pPr>
        <w:spacing w:after="0" w:line="240" w:lineRule="auto"/>
        <w:ind w:left="733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الاحتجاج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للقراءات فن من فنون القراءات، ارتبط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تطوره بها منذ بدأت حروفًا متفرقة، إلى أن صارت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علمًا مستقل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ا، فقد كان في أول عهده غض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 يقتصر على المتشابهات القريبة التي تعقد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بين القراءات، أو بين سائر أساليب اللغة في اللفظ أو المعنى أو التركيب، ومن هذه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المشتبهات احتجاج ابن عباس لقراءة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A3664B">
        <w:rPr>
          <w:rFonts w:ascii="QCF_P043" w:hAnsi="QCF_P043" w:cs="QCF_P043"/>
          <w:b/>
          <w:bCs/>
          <w:sz w:val="18"/>
          <w:szCs w:val="18"/>
          <w:rtl/>
        </w:rPr>
        <w:t>ﯲ ﯳ ﯴ ﯵ ﯶ</w:t>
      </w:r>
      <w:r w:rsidRPr="00A3664B">
        <w:rPr>
          <w:rFonts w:ascii="QCF_P043" w:hAnsi="QCF_P043" w:cs="DecoType Thuluth"/>
          <w:b/>
          <w:bCs/>
          <w:sz w:val="18"/>
          <w:szCs w:val="18"/>
          <w:rtl/>
        </w:rPr>
        <w:t>}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البقرة: 259]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A3664B">
        <w:rPr>
          <w:rFonts w:ascii="QCF_P585" w:hAnsi="QCF_P585" w:cs="QCF_P585"/>
          <w:b/>
          <w:bCs/>
          <w:sz w:val="18"/>
          <w:szCs w:val="18"/>
          <w:rtl/>
        </w:rPr>
        <w:t>ﮧ ﮨ ﮩ ﮪ</w:t>
      </w:r>
      <w:r w:rsidRPr="00A3664B">
        <w:rPr>
          <w:rFonts w:ascii="QCF_P585" w:hAnsi="QCF_P585" w:cs="DecoType Thuluth"/>
          <w:b/>
          <w:bCs/>
          <w:sz w:val="18"/>
          <w:szCs w:val="18"/>
          <w:rtl/>
        </w:rPr>
        <w:t>}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عبس: 22]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ثم أخذت هذه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المشابهات تتطور الاختيارات، وتقترن بها اقتران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 لازم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ا،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ولعل خير من يمثل هذا الجانب وقتئذ القاسم بن سلام، الذي كان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يصوغ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اختياره القائم على مبدأ الكثرة بمسائل النحو والصرف واللغة وأساليب القرآن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والشعر وأقوال العرب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ومنذ هذه الفترة من الزمن بدأت إيضاح كتب الاحتجاج المستقلة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بالظهور، فكان منها كتاب للمبرد، ثم توالت بعده المصنفات، ولا سيما بعد أن أطلق ابن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مجاهد مقياسه التاريخي؛ إذ أسرع عدد من العلماء إلى تأليف الكتب فيه، فقد وضع كل من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أب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بكر محمد بن السري، وأب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طاهر عبد الواحد البزاز، ومحمد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بن الحسن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الأنصاري، ومحمد بن الحسن بن مقسم العطار، وأب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علي الفارسي، ومكي بن أبي طالب القيسي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كتابًا مستقل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 في هذا الشأن، فأصبح بذلك الاحتجاج للقراءة علمًا قائمًا بذاته، له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أصول وأدوات، وعلماء ينصرفون إليه، ولكن ما المراد بالاحتجاج في هذا المضمار؟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المراد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بالاحتجاج هنا الكشف عن وجه القراءة في نحوها أو صرفها أو لغتها، وتسويغ الاختيار،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وذلك بأساليب اللغة الأخرى من قرآن وشعر ولغات، وليس المراد به توثيق القراءة،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أو إثبات صحة قاعدة نحوية فيها، كما هو مقرر في أصول النحو؛ لأن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القراءة سنة ثابتة صحيحة في عربيتها، وما الكشف عن وجهها والدفاع عنه إلا نوع من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الترجيح، الذي يتيح لصاحب الاختيار </w:t>
      </w:r>
      <w:r w:rsidRPr="00A3664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فضلًا عن مبدأ الكثرة أو الاستفاضة</w:t>
      </w:r>
      <w:r w:rsidRPr="00A3664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 ينتقي من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الكثيرة ما يطمئن إليه في صلاته، ويحقق عنده شرط القرآن، ولعلنا نقف على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معنى الاحتجاج هذا في عنوانات بعض الكتب التي ألفت فيه،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فابن جني جعل عنوان كتابه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المحتسب في تبيين وجوه شواذ القراءات والإيضاح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عنها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، ومكي بن أبي طالب جعل عنوان كتابه الذي يحتج فيه للقراءات السبع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الكشف عن وجوه القراءات السبع وعللها وحججها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، فالغاية إذن هي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الكشف عن الوجوه النحوية وتبيين مراتبها، لا الاحتجاج بمعنى الإثبات كما يخيل إلى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بعضهم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ونحن لا نجد في هذا الصنيع أيضًا غضاضة، أو عكسا للوضع الصحيح الذي يفترض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الاحتجاج بالقراءة على قواعد النحو؛ لأن علماء الاحتجاج كانوا على علم بمحاذير هذا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النهج، وعلى علم أيضًا بأن وجه القراءة ثابت مهما كان بعيدًا أو ضعيفًا، ولذلك كانوا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متحفظين في هذا الشأن. قال ثعلب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إذا اختلف الإعرابان في القراءات لم أفضل إعراب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على إعراب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في القرآن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، فإذا خرجت إلى كلام الناس فضلت الأقوى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إلا أنه ينبغي التنبيه على شيء؛ وهو أنه قد ترجح إحدى القراءتين على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الأخرى ترجيح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 يكاد يسقطه وهذا غير مرضٍ؛ لأن كلًّا منهما متواتر، فهم إذن على بينة مما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يصنعون، وهو أن الاحتجاج للقراءة إنما كان يعني الكشف لا التوثيق أو التقوية أو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العودة إلى النحو وغيره، ما هي إلا لبيان القراءة وتوضيحها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كلنا يعلم أن القرآن الكريم هو الأصل الأول في الاحتجاج به، لذا اتفق علماء اللغة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على أن القرآن الكريم هو الأصل الأول من أصول الاستشهاد في وضع القواعد النحوية؛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لأنه نزل بلسان عربي مبين، ولم نسمع أحد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حاول أن يتلاعب بكلماته أو يغير في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أساليبه أو يدخل فيه ما ليس منه، فهو أصدق في الدلالة اللغوية، وأقوى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في الاستشهادات النحوية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من كل النصوص اللغوية الأخرى، مهما كانت درجة هذه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النصوص من الرواية والإتقان، والحفظ والضبط، ولم يقتصر هؤلاء العلماء في الاستشهاد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على النص القرآني الموحد، بل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ضموا إليه القراءات فإن لها قيمة لغوية خاصة؛ حيث إنها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ثروة لغوية ضخمة لا يستغني عنها دارس العربية، ولأنها تسجل كثيرًا من الظواهر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اللهجية، فالعلاقة بين علم النحو والقراءات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علاقة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وثقى؛ حيث إن الشروط الثلاثة التي وضعها العلماء للقراءات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الصحيحة هي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أولًا: موافقة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القراءة العربية بأي وجه كان.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ثانيًا: موافقة أحد المصاحف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ولو احتمال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ا.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ثالثًا: صحة السند، وإذا كانت موافقة القراءة للعربية </w:t>
      </w:r>
      <w:r w:rsidRPr="00A3664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ولو من وجه واحد</w:t>
      </w:r>
      <w:r w:rsidRPr="00A3664B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شرط</w:t>
      </w:r>
      <w:r w:rsidRPr="00A3664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 في شروط صحتها؛ فهذا ولا شك يبين لنا الأثر البالغ للنحو في تكوين القراءة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الواحدة، كما يبين لنا العلاقة الوطيدة بين القراءة والنحو، لذلك قال الإمام ابن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الجزري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كل قراءة وافقت العربية ولو بوجه، ووافقت أحد المصاحف العثمانية ولو احتمالًا،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وصح سندها فهي القراءة الصحيحة التي لا يجوز ردها، ولا يحل إنكارها، بل هي من الأحرف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السبعة التي نزل بها القرآن الكريم، ووجب على الناس قبولها، سواء كانت عن الأئمة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السبعة، أم عن العشرة، أم عن غيرهم من الأئمة المقبولين، ومتى اختل ركن من هذه الأركان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</w:rPr>
        <w:t>الثلاثة أطلق عليها ضعيفة أو شاذة أو باطلة</w:t>
      </w:r>
      <w:r w:rsidRPr="00A3664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A3664B" w:rsidRPr="00A3664B" w:rsidRDefault="00A3664B" w:rsidP="00A3664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3664B" w:rsidRPr="00A3664B" w:rsidRDefault="00A3664B" w:rsidP="00A3664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A3664B" w:rsidRPr="00A3664B" w:rsidRDefault="00A3664B" w:rsidP="00A3664B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A3664B" w:rsidRPr="00A3664B" w:rsidRDefault="00A3664B" w:rsidP="00A3664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A3664B" w:rsidRPr="00A3664B" w:rsidRDefault="00A3664B" w:rsidP="00A3664B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A3664B" w:rsidRPr="00A3664B" w:rsidRDefault="00A3664B" w:rsidP="00A3664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A3664B" w:rsidRPr="00A3664B" w:rsidRDefault="00A3664B" w:rsidP="00A3664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A3664B" w:rsidRPr="00A3664B" w:rsidRDefault="00A3664B" w:rsidP="00A3664B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A3664B" w:rsidRPr="00A3664B" w:rsidRDefault="00A3664B" w:rsidP="00A3664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A3664B" w:rsidRPr="00A3664B" w:rsidRDefault="00A3664B" w:rsidP="00A3664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A3664B" w:rsidRPr="00A3664B" w:rsidRDefault="00A3664B" w:rsidP="00A3664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A3664B" w:rsidRPr="00A3664B" w:rsidRDefault="00A3664B" w:rsidP="00A3664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A3664B" w:rsidRPr="00A3664B" w:rsidRDefault="00A3664B" w:rsidP="00A3664B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A3664B" w:rsidRPr="00A3664B" w:rsidRDefault="00A3664B" w:rsidP="00A3664B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A3664B" w:rsidRPr="00A3664B" w:rsidRDefault="00A3664B" w:rsidP="00A3664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A3664B" w:rsidRPr="00A3664B" w:rsidRDefault="00A3664B" w:rsidP="00A3664B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A3664B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A3664B" w:rsidRPr="00A3664B" w:rsidRDefault="00A3664B" w:rsidP="00A3664B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A3664B" w:rsidRPr="00A3664B" w:rsidRDefault="00A3664B" w:rsidP="00A3664B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A3664B" w:rsidRDefault="00A3664B" w:rsidP="00A3664B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  <w:lang w:bidi="ar-EG"/>
        </w:rPr>
        <w:sectPr w:rsidR="00A3664B" w:rsidSect="00A3664B">
          <w:type w:val="continuous"/>
          <w:pgSz w:w="11906" w:h="16838"/>
          <w:pgMar w:top="851" w:right="849" w:bottom="426" w:left="1800" w:header="708" w:footer="708" w:gutter="0"/>
          <w:cols w:num="2" w:space="708"/>
          <w:bidi/>
          <w:rtlGutter/>
          <w:docGrid w:linePitch="360"/>
        </w:sectPr>
      </w:pPr>
    </w:p>
    <w:p w:rsidR="00A3664B" w:rsidRPr="00A3664B" w:rsidRDefault="00A3664B" w:rsidP="00A3664B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lang w:bidi="ar-EG"/>
        </w:rPr>
      </w:pPr>
    </w:p>
    <w:sectPr w:rsidR="00A3664B" w:rsidRPr="00A3664B" w:rsidSect="00A3664B">
      <w:type w:val="continuous"/>
      <w:pgSz w:w="11906" w:h="16838"/>
      <w:pgMar w:top="851" w:right="849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4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8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3664B"/>
    <w:rsid w:val="001A2769"/>
    <w:rsid w:val="001C2901"/>
    <w:rsid w:val="004168A0"/>
    <w:rsid w:val="004219C3"/>
    <w:rsid w:val="004A286F"/>
    <w:rsid w:val="00984707"/>
    <w:rsid w:val="00A3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66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4885</Characters>
  <Application>Microsoft Office Word</Application>
  <DocSecurity>0</DocSecurity>
  <Lines>40</Lines>
  <Paragraphs>11</Paragraphs>
  <ScaleCrop>false</ScaleCrop>
  <Company>Fannan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دريم</cp:lastModifiedBy>
  <cp:revision>2</cp:revision>
  <dcterms:created xsi:type="dcterms:W3CDTF">2013-06-16T14:26:00Z</dcterms:created>
  <dcterms:modified xsi:type="dcterms:W3CDTF">2013-06-17T09:29:00Z</dcterms:modified>
</cp:coreProperties>
</file>