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5E692B" w:rsidP="005E692B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5E692B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المسائل التي اختلف فيها أهل الكوفة وأهل البصرة بسبب القراءات</w:t>
      </w:r>
    </w:p>
    <w:p w:rsidR="005E692B" w:rsidRDefault="005E692B" w:rsidP="005E692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692B" w:rsidRPr="00F7753E" w:rsidRDefault="005E692B" w:rsidP="005E692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692B" w:rsidRPr="00F7753E" w:rsidRDefault="005E692B" w:rsidP="005E692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692B" w:rsidRPr="00F7753E" w:rsidRDefault="005E692B" w:rsidP="005E692B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5E692B" w:rsidRPr="00426F7E" w:rsidRDefault="005E692B" w:rsidP="00AF3F58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AF3F58">
        <w:rPr>
          <w:rFonts w:asciiTheme="majorBidi" w:hAnsiTheme="majorBidi" w:cstheme="majorBidi" w:hint="cs"/>
          <w:sz w:val="18"/>
          <w:szCs w:val="18"/>
          <w:rtl/>
        </w:rPr>
        <w:t>شيماء رضا سالم سالم</w:t>
      </w:r>
    </w:p>
    <w:p w:rsidR="005E692B" w:rsidRPr="00426F7E" w:rsidRDefault="005E692B" w:rsidP="005E692B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5E692B" w:rsidRPr="00426F7E" w:rsidRDefault="005E692B" w:rsidP="005E692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5E692B" w:rsidRPr="00426F7E" w:rsidRDefault="005E692B" w:rsidP="005E692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شاه علم </w:t>
      </w:r>
      <w:r>
        <w:rPr>
          <w:rFonts w:asciiTheme="majorBidi" w:hAnsiTheme="majorBidi" w:cstheme="majorBidi"/>
          <w:sz w:val="18"/>
          <w:szCs w:val="18"/>
          <w:rtl/>
        </w:rPr>
        <w:t>–</w:t>
      </w:r>
      <w:r w:rsidRPr="00426F7E">
        <w:rPr>
          <w:rFonts w:asciiTheme="majorBidi" w:hAnsiTheme="majorBidi" w:cstheme="majorBidi"/>
          <w:sz w:val="18"/>
          <w:szCs w:val="18"/>
          <w:rtl/>
        </w:rPr>
        <w:t xml:space="preserve"> ماليزيا</w:t>
      </w:r>
    </w:p>
    <w:p w:rsidR="005E692B" w:rsidRDefault="00AF3F58" w:rsidP="00AF3F58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EG"/>
        </w:rPr>
        <w:t>Sh_only_a@yahoo.com</w:t>
      </w:r>
    </w:p>
    <w:p w:rsidR="005E692B" w:rsidRDefault="005E692B" w:rsidP="005E692B">
      <w:pPr>
        <w:tabs>
          <w:tab w:val="left" w:pos="40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5E692B" w:rsidRDefault="005E692B" w:rsidP="005E692B">
      <w:pPr>
        <w:tabs>
          <w:tab w:val="left" w:pos="40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sectPr w:rsidR="005E692B" w:rsidSect="005E692B">
          <w:pgSz w:w="11906" w:h="16838"/>
          <w:pgMar w:top="1440" w:right="566" w:bottom="851" w:left="1800" w:header="708" w:footer="708" w:gutter="0"/>
          <w:cols w:space="708"/>
          <w:bidi/>
          <w:rtlGutter/>
          <w:docGrid w:linePitch="360"/>
        </w:sectPr>
      </w:pPr>
    </w:p>
    <w:p w:rsidR="005E692B" w:rsidRPr="005E692B" w:rsidRDefault="005E692B" w:rsidP="005E692B">
      <w:pPr>
        <w:tabs>
          <w:tab w:val="left" w:pos="40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5E692B" w:rsidRPr="005E692B" w:rsidRDefault="005E692B" w:rsidP="005E69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– هذا البحث يبحث فى </w:t>
      </w:r>
      <w:r w:rsidRPr="005E692B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المسائل التي اختلف فيها أهل الكوفة وأهل البصرة بسبب القراءات</w:t>
      </w:r>
    </w:p>
    <w:p w:rsidR="005E692B" w:rsidRPr="005E692B" w:rsidRDefault="005E692B" w:rsidP="005E692B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5E692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5E692B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المسائل، الكوفه، اختلف</w:t>
      </w:r>
    </w:p>
    <w:p w:rsidR="005E692B" w:rsidRPr="005E692B" w:rsidRDefault="005E692B" w:rsidP="005E692B">
      <w:pPr>
        <w:numPr>
          <w:ilvl w:val="0"/>
          <w:numId w:val="2"/>
        </w:numPr>
        <w:spacing w:before="6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5E692B" w:rsidRPr="005E692B" w:rsidRDefault="005E692B" w:rsidP="005E69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5E692B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المسائل التي اختلف فيها أهل الكوفة وأهل البصرة بسبب القراءات</w:t>
      </w:r>
    </w:p>
    <w:p w:rsidR="005E692B" w:rsidRPr="005E692B" w:rsidRDefault="005E692B" w:rsidP="005E692B">
      <w:pPr>
        <w:numPr>
          <w:ilvl w:val="0"/>
          <w:numId w:val="3"/>
        </w:numPr>
        <w:spacing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وقوع الفعل الماضي حالًا: يذهب الكوفي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ن إلى أن الفعل الماضي يجوز أن يقع حالًا،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واحتجوا بقوله تعالى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E692B">
        <w:rPr>
          <w:rFonts w:ascii="QCF_P092" w:hAnsi="QCF_P092" w:cs="QCF_P092"/>
          <w:b/>
          <w:bCs/>
          <w:sz w:val="18"/>
          <w:szCs w:val="18"/>
          <w:rtl/>
        </w:rPr>
        <w:t>ﮧ ﮨ ﮩ ﮪ</w:t>
      </w:r>
      <w:r w:rsidRPr="005E692B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النساء: 90] فـ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حصرت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فعل ماضي، وهو في موضع الحال، وتقديره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حصرةً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صدورهم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والدليل على صحة هذا التقدير: قراءة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قرأ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أو جاءوكم حصرة صدورهم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وهي قراءة الحسن البصري، ويعقوب الحضرمي، والمفضل عن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عاصم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أما البصريون: فذهبوا إلى أنه لا يجوز أن يقع حالًا، وخرجوا الآية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التي استدل بها الكوفيون، وكان تخريجهم يقوم على أربعة أوجه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الوجه الأول: أن تكون صفة للقوم المجرور في أول الآية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والوجه الثاني: أن تكون صفة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لقوم مقدر، ويكون التقدير فيه: أو جاءوكم قومًا حصرت صدورهم. والماضي إذا وقع صفة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لموصوف محذوف جاز أن يقع حالًا بالإجماع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والوجه الثالث: أن يكون خبرًا بعد خبر، كأنه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قال: أو جاءوكم، ثم أخبر، فقال: حصرت صدورهم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والوجه الرابع: أن يكون محمولًا على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الدعاء، لا على الحال، كأنه قال: ضيق الله صدورهم كما يقال: جاءني فلان وسع الله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رزقه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ثانيًا: هل تكون "إلا" بمعنى الواو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؟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ذهب الكوفيون إلى أن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تكون بمعنى الواو، وذهب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البصريون إلى أنها لا تكون بمعنى الواو، واحتج الكوفيون لمذهبهم بقوله تعالى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E692B">
        <w:rPr>
          <w:rFonts w:ascii="QCF_P023" w:hAnsi="QCF_P023" w:cs="QCF_P023"/>
          <w:b/>
          <w:bCs/>
          <w:sz w:val="18"/>
          <w:szCs w:val="18"/>
          <w:rtl/>
        </w:rPr>
        <w:t>ﮤ ﮥ ﮦ ﮧ ﮨ ﮩ ﮪ ﮫ ﮬ</w:t>
      </w:r>
      <w:r w:rsidRPr="005E692B">
        <w:rPr>
          <w:rFonts w:ascii="QCF_P023" w:hAnsi="QCF_P023" w:cs="DecoType Thuluth"/>
          <w:b/>
          <w:bCs/>
          <w:sz w:val="18"/>
          <w:szCs w:val="18"/>
          <w:rtl/>
        </w:rPr>
        <w:t>}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البقرة: 150] أي: ولا الذين ظلموا منهم، وأيدوا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حجتهم بقراءة بعض القراء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إلى الذين ظلموا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مخففًا بمعنى: مع الذين ظلموا منهم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ونقض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البصريون دليل الكوفيين في القراءة فقالوا: وأما قراءة من قرأ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إلى الذين ظلموا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منهم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بالتخفيف، فإن صحت، وسلم لكم ما ادعيتموه على أصلكم من أن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تكون بمعنى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مع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فليس لكم فيه حجة تدل على أن إلا تكون بمعنى الواو؛ لأنه ليس من الشرط أن تكون إحدى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القراءتين بمعنى الأخرى، وإذا اعتبرتم هذا في القراءات وجدتم الاختلاف في معانيها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كثيرًا جدًا، وهذا مما لا خلاف فيه، وإذا ثبت هذا فيجوز أن تكون قراءة من قرأ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الذين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بالتخفيف بمعنى: مع، وقراءة من قرأ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بالتشديد بمعنى: لكن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ثالثًا: هل فعل الأمر معرب؟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ذهب الكوفيون إلى أن فعل الأمر للمواجه المعرى عن حرف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المضارعة نحو: أفعل معرب مجزوم،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وذهب البصريون إلى أنه مبني على السكون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أما الكوفيون: فاحتجوا بأن قالوا: إنما قلنا إنه معرب مجزوم؛ لأن الأصل في الأمر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للمواجه في نحو: افعل، لتفعل، كقولهم في الأمر للغائب: ليفعل. وعلى ذلك قوله تعالى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ذلك فلتفرحوا هو خير مما يجمعون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في قراءة من قرأ بالتاء من الأئمة القراء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 xml:space="preserve">وذكرت القراءة أنها قراءة النبي </w:t>
      </w:r>
      <w:r w:rsidRPr="005E692B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طريق أبي بن كعب، ورويت هذه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القراءة عن عثمان بن عفان، وأنس بن مالك، والحسن البصري، فثبت أن الأصل في الأمر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للمواجهة في نحو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افعل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أن يكون باللام نحو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لتفعل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كالأمر للغائب، إلا أنه لما كثر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استعمال الأمر للمواجهة في كلامهم، وجرى على ألسنتهم أكثر من الغائب استثقلوا مجيء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اللام فيه مع كثرة الاستعمال؛ فحذفوها مع حرف المضارعة؛ طلبًا للتخفيف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وأما البصريون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فقالوا: إن علة وجود الإعراب في الفعل المضارع وجود حرف المضارعة، فما دام حرف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المضارعة ثابتًا كانت العلة ثابتة سليمة عن المضارعة، كان حكمها ثابتًا؛ ولهذا كان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قوله تعالى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ذلك فلتفرحوا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معربًا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رابعًا: هل يجوز نقل حركة همزة الوصل إلى الساكن قبلها؟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ذهب الكوفيون إلى أنه يجوز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نقل حركة همزة الوصل إلى الساكن قبلها، وذهب البصريون إلى أنه لا يجوز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أما الكوفيون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فقالوا: حكى الكسائي قال: قرأ علي بعض العرب سورة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فقال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مناع للخير معتد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مريب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*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الذي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 xml:space="preserve">[ق: 25، 26]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بفتح التنوين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مريب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*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الذي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؛ لأنه نقل فتحة همزة الذي إلى التنوين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قبلها. وحكى أيضًا عن بعض العرب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بسم الله الرحمن الرحيم، الحمد 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بفتح الميم؛ لأنه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نقل فتح همزة الحمد إلى الميم قبلها، وقرأ أبو جعفر يزيد بن القعقاع المدني، وهو من سادات أئمة القراءة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وإذ قلنا للملائكة اسجدوا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فنقل ضمة همزة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اسجدوا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التاء قبلها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وأما البصريون فقالوا: أما احتجاجهم بقوله تعالى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الم، الله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فلا حجة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لهم فيه؛ لأن حركة الميم إنما كانت لالتقاء الساكنين، وهي الميم واللام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ثم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قالوا: والجواب عن احتجاجهم بقراءة بعض العرب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مريب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*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الذي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فإن الفتحة في التنوين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ليست عن إلقاء حركة همزة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الذي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وإنما حركت؛ لالتقاء الساكنين، وهما: التنوين، واللام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الذي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ثم قالوا على أنه لا يجوز لأحد أن يقرأ بهذه القراءة؛ لأنه لا إمام لها، وكذلك ما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حكاه عن بعض العرب من فتح الميم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الرحيم، الحمد 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؛ لأنها لا إمام لها على أنه لا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وجه للاحتجاج بها؛ لأن فتح الميم فتحة إعراب؛ لأنه لما تكرر الوصف عدل به إلى النصب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على المدح بتقدير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أعني: الحمد 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خامسًا: </w:t>
      </w:r>
      <w:r w:rsidRPr="005E692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E692B">
        <w:rPr>
          <w:rFonts w:ascii="QCF_P020" w:hAnsi="QCF_P020" w:cs="QCF_P020"/>
          <w:b/>
          <w:bCs/>
          <w:sz w:val="18"/>
          <w:szCs w:val="18"/>
          <w:rtl/>
        </w:rPr>
        <w:t>ﭑ ﭒ ﭓ ﭔ ﭕ ﭖ ﭗ</w:t>
      </w:r>
      <w:r w:rsidRPr="005E692B">
        <w:rPr>
          <w:rFonts w:ascii="QCF_P020" w:hAnsi="QCF_P020" w:cs="DecoType Thuluth"/>
          <w:b/>
          <w:bCs/>
          <w:sz w:val="18"/>
          <w:szCs w:val="18"/>
          <w:rtl/>
        </w:rPr>
        <w:t>}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البقرة: 127] روى ابن مجاهد، عن ابن عباس: أن في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مصحف ابن مسعود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وإذ يرفع إبراهيم القواعد من البيت وإسماعيل ويقولان ربنا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وفيه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والذين اتخذوا من دونه أولياء قالوا ما نعبدهم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وفيه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والملائكة باسطو أيديهم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يقولون اخرجوا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قال أبو الفتح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في هذا دليل على صحة ما يذهب إليه أصحابنا 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يقصد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البصريين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أن القول مراد مقدر في نحو هذه الأشياء، وأنه ليس كما يذهب إليه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الكوفيون من أن الكلام محمول على معناه دون أن يكون القول مقدرًا معه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سادسًا: إعمال "إن" النافية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أجاز إعمالها الكسائي، وأكثر الكوفيين، قرأ سعيد بن جبير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إن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الذين تدعون من دون الله عبادًا أمثالكم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سابعًا: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E692B">
        <w:rPr>
          <w:rFonts w:ascii="QCF_P293" w:hAnsi="QCF_P293" w:cs="QCF_P293"/>
          <w:b/>
          <w:bCs/>
          <w:sz w:val="18"/>
          <w:szCs w:val="18"/>
          <w:rtl/>
        </w:rPr>
        <w:t>ﯛ ﯜ</w:t>
      </w:r>
      <w:r w:rsidRPr="005E692B">
        <w:rPr>
          <w:rFonts w:ascii="QCF_P293" w:hAnsi="QCF_P293" w:cs="DecoType Thuluth"/>
          <w:b/>
          <w:bCs/>
          <w:sz w:val="18"/>
          <w:szCs w:val="18"/>
          <w:rtl/>
        </w:rPr>
        <w:t>}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بضم اللام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لُله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الكوفيون اجتهدوا في تأييد هذه القراءة؛ لمناسبة الإتباع. قال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يوهان فك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":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وعلى النقيض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من ذلك البصريون الذين عابوا هذه القراءة، بحجة أنها سقطت من الاستعمال تمامًا، وأنها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مخالفة للقواعد، ومصطدمة بالإعراب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هذه طائفة من المسائل التي اختلف فيها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البصريون والكوفيون في مجال القراءات، وهي غيض من فيض، ذكرت لك بعضها؛ لتكون دليلًا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يؤيد ما أقول من أن القراءات أثرت في النحو البصري، والكوفي تأثيرًا كبيرًا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 xml:space="preserve">الاحتجاج بالقراءات الشاذة في علم البلاغة: 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لم يقتصر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العلماء 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على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أن يحتجوا بالقراءات الشاذة على القواعد النحوية، بل إن هناك من الاحتجاج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بالقراءات الشاذة في علم البلاغة. المتتبع للكتب الخاصة بالاحتجاج بالقراءات الشاذة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كـ(المحتسب) لابن جني، يلمح فيه مواضع من قبول الشاذ قبولًا بلاغي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ا، وإثبات الفصاحة له،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وإثبات بعض الأسرار البلاغية به، بل لقد قال ابن جني 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رحمه الله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ولعله 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أي الشاذ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أو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كثيرًا منه مساو في الفصاحة للمجتمع عليه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نعم، وربما كان فيه ما تلطفه صنعته، وتفيض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بغيره فصاحته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وأكد ابن جني أن العدول عنه ليس غض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 منه، ولا تهمة له، وكيف وهو مروي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مرفوع حبيب الله 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5E692B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مأمور بتقبله، والعمل بموجبه، وأنه وإن كان فيه ما ضعف إعرابه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في السبع الفصل بين المتضايفين، وهمزة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برآء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ومع ذلك مأخوذ به، فمن ذلك: قراءة عبد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الله بن عباس </w:t>
      </w:r>
      <w:r w:rsidRPr="005E692B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الدالة على الاستفهام في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من فرعون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بفتح ميم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",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وضم نون فرعون، </w:t>
      </w:r>
      <w:r w:rsidRPr="005E692B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في قوله تعالى</w:t>
      </w:r>
      <w:r w:rsidRPr="005E692B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5E692B">
        <w:rPr>
          <w:rFonts w:ascii="QCF_P497" w:hAnsi="QCF_P497" w:cs="QCF_P497"/>
          <w:b/>
          <w:bCs/>
          <w:spacing w:val="-6"/>
          <w:sz w:val="18"/>
          <w:szCs w:val="18"/>
          <w:rtl/>
        </w:rPr>
        <w:t xml:space="preserve">ﮜ ﮝ ﮞ ﮟ ﮠ ﮡ ﮢ </w:t>
      </w:r>
      <w:r w:rsidRPr="005E692B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 xml:space="preserve">* </w:t>
      </w:r>
      <w:r w:rsidRPr="005E692B">
        <w:rPr>
          <w:rFonts w:ascii="QCF_P497" w:hAnsi="QCF_P497" w:cs="QCF_P497"/>
          <w:b/>
          <w:bCs/>
          <w:spacing w:val="-6"/>
          <w:sz w:val="18"/>
          <w:szCs w:val="18"/>
          <w:rtl/>
        </w:rPr>
        <w:t>ﮤ ﮥ ﮦ ﮧ ﮨ ﮩ ﮪ ﮫ</w:t>
      </w:r>
      <w:r w:rsidRPr="005E692B">
        <w:rPr>
          <w:rFonts w:ascii="QCF_P497" w:hAnsi="QCF_P497" w:cs="DecoType Thuluth"/>
          <w:b/>
          <w:bCs/>
          <w:spacing w:val="-6"/>
          <w:sz w:val="18"/>
          <w:szCs w:val="18"/>
          <w:rtl/>
        </w:rPr>
        <w:t>}</w:t>
      </w:r>
      <w:r w:rsidRPr="005E692B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[</w:t>
      </w:r>
      <w:r w:rsidRPr="005E692B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الدخان: 30</w:t>
      </w:r>
      <w:r w:rsidRPr="005E692B">
        <w:rPr>
          <w:rFonts w:ascii="Simplified Arabic" w:hAnsi="Simplified Arabic" w:cs="AL-Hotham" w:hint="cs"/>
          <w:b/>
          <w:bCs/>
          <w:spacing w:val="-6"/>
          <w:sz w:val="18"/>
          <w:szCs w:val="18"/>
          <w:rtl/>
        </w:rPr>
        <w:t>،</w:t>
      </w:r>
      <w:r w:rsidRPr="005E692B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 xml:space="preserve"> 31]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فقد قرأها ابن عباس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ولقد نجينا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بني إسرائيل من العذاب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المهين 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*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مَن فرعون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إنه كان عاليًا من المسرفين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والمراد من الاستفهام ههنا: أنه لما وصف العذاب بالشدة والفظاعة زاده تهويلًا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بقوله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مَن فرعون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على معنى: هل تعرفون من هو في فرط عتوه، وغاية تجبره، فما ظنكم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بعذاب يكون هو المعذب به؟ فلذلك قال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إنه كان عاليًا من المسرفين</w:t>
      </w:r>
      <w:r w:rsidRPr="005E692B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قلت: وهذا التحقير مثلما يقال لمن افتخر بحسبه ونسبه: من أنت؟ تحقيرًا له، وتصغيرًا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شأنه،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وقيل: لتحقير فرعون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بجعله غير معلوم يستفهم عنه كالنكرة؛ لما فيه من القبائح التي لم يعد مثلها،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وما بعد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يناسب ما قبل كما لا يخفى. وهذا الموضع من الأمثلة النادرة التي اجتبى لها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البلاغيون، وأشاروا إليها في اختلاف المعاني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وأيضًا من الأساليب البلاغية التي يستشهد لها من القراءات ما وراء العشرة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نظم الأسلوب، وعلاقته بإرادة ناظمه تحويل الفضلة إلى عمدة؛ لشدة العناية به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وهذا حكم بلاغي يحتج له، ويثبت بقراءة يزيد البربري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وعُلم آدم الأسماء كلها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، وقد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لحظ بعض العلماء هذا الملحظ، وأدركوه إدراكًا دقيقًا، فابن جني عند قراءة يزيد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البربري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وعُلم آدم الأسماء كلها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بضم العين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عُلّم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على البناء لما لم يسم فاعله،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ورفع الميم من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آدم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5E692B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يرى أن بناء الفعل للمفعول دليل على قوة العناية به، فيقول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فإذا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ثبت بهذا كله قوة عنايتهم بالفضلة حتى ألغوا حديث الفاعل معها، وبنوا الفعل لمفعوله،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فقالوا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ضرب زيد حسن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5E692B" w:rsidRPr="005E692B" w:rsidRDefault="005E692B" w:rsidP="005E69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قوله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وعلم آدم الأسماء كلها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لما كان الغرض فيه أنه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قد عرفها، وعلمها، وأنس أيضًا علم المخاطبين بأن الله </w:t>
      </w:r>
      <w:r w:rsidRPr="005E692B">
        <w:rPr>
          <w:rFonts w:ascii="AGA Arabesque" w:hAnsi="AGA Arabesque" w:cs="Simplified Arabic"/>
          <w:b/>
          <w:bCs/>
          <w:position w:val="-4"/>
          <w:sz w:val="18"/>
          <w:szCs w:val="18"/>
        </w:rPr>
        <w:t>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هو الذي علمه إياها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بقراءة من قرأ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5E692B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5E692B">
        <w:rPr>
          <w:rFonts w:ascii="QCF_P006" w:hAnsi="QCF_P006" w:cs="QCF_P006"/>
          <w:b/>
          <w:bCs/>
          <w:sz w:val="18"/>
          <w:szCs w:val="18"/>
          <w:rtl/>
        </w:rPr>
        <w:t>ﭰ ﭱ ﭲ ﭳ</w:t>
      </w:r>
      <w:r w:rsidRPr="005E692B">
        <w:rPr>
          <w:rFonts w:ascii="QCF_P006" w:hAnsi="QCF_P006" w:cs="DecoType Thuluth"/>
          <w:b/>
          <w:bCs/>
          <w:sz w:val="18"/>
          <w:szCs w:val="18"/>
          <w:rtl/>
        </w:rPr>
        <w:t>}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5E692B">
        <w:rPr>
          <w:rFonts w:ascii="Simplified Arabic" w:hAnsi="Simplified Arabic" w:cs="AL-Hotham"/>
          <w:b/>
          <w:bCs/>
          <w:sz w:val="18"/>
          <w:szCs w:val="18"/>
          <w:rtl/>
        </w:rPr>
        <w:t>البقرة: 31</w:t>
      </w:r>
    </w:p>
    <w:p w:rsidR="005E692B" w:rsidRPr="005E692B" w:rsidRDefault="005E692B" w:rsidP="005E692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5E692B" w:rsidRPr="005E692B" w:rsidRDefault="005E692B" w:rsidP="005E692B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5E692B" w:rsidRPr="005E692B" w:rsidRDefault="005E692B" w:rsidP="005E692B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5E692B" w:rsidRPr="005E692B" w:rsidRDefault="005E692B" w:rsidP="005E692B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5E692B" w:rsidRPr="005E692B" w:rsidRDefault="005E692B" w:rsidP="005E692B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5E692B" w:rsidRPr="005E692B" w:rsidRDefault="005E692B" w:rsidP="005E692B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(قراءة أبي السمال العدوي) </w:t>
      </w:r>
    </w:p>
    <w:p w:rsidR="005E692B" w:rsidRPr="005E692B" w:rsidRDefault="005E692B" w:rsidP="005E692B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5E692B" w:rsidRPr="005E692B" w:rsidRDefault="005E692B" w:rsidP="005E692B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5E692B" w:rsidRPr="005E692B" w:rsidRDefault="005E692B" w:rsidP="005E692B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5E692B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5E692B" w:rsidRPr="005E692B" w:rsidRDefault="005E692B" w:rsidP="005E692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5E692B" w:rsidRPr="005E692B" w:rsidRDefault="005E692B" w:rsidP="005E692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5E692B" w:rsidRPr="005E692B" w:rsidRDefault="005E692B" w:rsidP="005E692B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E692B" w:rsidRPr="005E692B" w:rsidRDefault="005E692B" w:rsidP="005E692B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5E692B" w:rsidRPr="005E692B" w:rsidRDefault="005E692B" w:rsidP="005E692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sectPr w:rsidR="005E692B" w:rsidRPr="005E692B" w:rsidSect="005E692B">
      <w:type w:val="continuous"/>
      <w:pgSz w:w="11906" w:h="16838"/>
      <w:pgMar w:top="1440" w:right="566" w:bottom="851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9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2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QCF_P02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9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SC_ALYERMOOK">
    <w:charset w:val="B2"/>
    <w:family w:val="auto"/>
    <w:pitch w:val="variable"/>
    <w:sig w:usb0="00006001" w:usb1="00000000" w:usb2="00000000" w:usb3="00000000" w:csb0="00000040" w:csb1="00000000"/>
  </w:font>
  <w:font w:name="QCF_P49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0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E692B"/>
    <w:rsid w:val="001A2769"/>
    <w:rsid w:val="004168A0"/>
    <w:rsid w:val="004219C3"/>
    <w:rsid w:val="004A286F"/>
    <w:rsid w:val="00556406"/>
    <w:rsid w:val="005E692B"/>
    <w:rsid w:val="00AF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69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D3FCA7-0E33-4C08-AAA6-1C78BC52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1325</Words>
  <Characters>7559</Characters>
  <Application>Microsoft Office Word</Application>
  <DocSecurity>0</DocSecurity>
  <Lines>62</Lines>
  <Paragraphs>17</Paragraphs>
  <ScaleCrop>false</ScaleCrop>
  <Company>Fannan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دريم</cp:lastModifiedBy>
  <cp:revision>2</cp:revision>
  <dcterms:created xsi:type="dcterms:W3CDTF">2013-06-16T14:31:00Z</dcterms:created>
  <dcterms:modified xsi:type="dcterms:W3CDTF">2013-06-17T09:32:00Z</dcterms:modified>
</cp:coreProperties>
</file>