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71" w:rsidRDefault="005B2171" w:rsidP="005B2171">
      <w:pPr>
        <w:spacing w:before="60"/>
        <w:jc w:val="center"/>
        <w:rPr>
          <w:rFonts w:asciiTheme="majorBidi" w:eastAsia="Calibri" w:hAnsiTheme="majorBidi" w:cstheme="majorBidi"/>
          <w:b/>
          <w:bCs/>
          <w:sz w:val="48"/>
          <w:szCs w:val="48"/>
          <w:rtl/>
        </w:rPr>
      </w:pPr>
      <w:r w:rsidRPr="005B2171"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  <w:t>أبرز رجال هذه الحقبة اشتغالًا بالقراءات</w:t>
      </w:r>
    </w:p>
    <w:p w:rsidR="005B2171" w:rsidRPr="00F7753E" w:rsidRDefault="005B2171" w:rsidP="005B2171">
      <w:pPr>
        <w:jc w:val="center"/>
        <w:rPr>
          <w:rFonts w:asciiTheme="majorBidi" w:eastAsia="Calibri" w:hAnsiTheme="majorBidi" w:cstheme="majorBidi"/>
          <w:sz w:val="18"/>
          <w:szCs w:val="18"/>
          <w:rtl/>
        </w:rPr>
      </w:pPr>
      <w:r w:rsidRPr="00F7753E">
        <w:rPr>
          <w:rFonts w:asciiTheme="majorBidi" w:hAnsiTheme="majorBidi" w:cstheme="majorBidi"/>
          <w:sz w:val="18"/>
          <w:szCs w:val="18"/>
          <w:rtl/>
        </w:rPr>
        <w:t xml:space="preserve">مبحث فى </w:t>
      </w:r>
      <w:r w:rsidRPr="00F7753E">
        <w:rPr>
          <w:rFonts w:asciiTheme="majorBidi" w:hAnsiTheme="majorBidi" w:cstheme="majorBidi" w:hint="cs"/>
          <w:sz w:val="18"/>
          <w:szCs w:val="18"/>
          <w:rtl/>
        </w:rPr>
        <w:t xml:space="preserve">علم </w:t>
      </w:r>
      <w:r w:rsidRPr="00F7753E">
        <w:rPr>
          <w:rFonts w:asciiTheme="majorBidi" w:eastAsia="Calibri" w:hAnsiTheme="majorBidi" w:cstheme="majorBidi" w:hint="cs"/>
          <w:sz w:val="18"/>
          <w:szCs w:val="18"/>
          <w:rtl/>
        </w:rPr>
        <w:t>القراءات الشاذه</w:t>
      </w:r>
    </w:p>
    <w:p w:rsidR="005B2171" w:rsidRPr="00426F7E" w:rsidRDefault="005B2171" w:rsidP="00052B64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 xml:space="preserve">إعداد / </w:t>
      </w:r>
      <w:r w:rsidR="00052B64">
        <w:rPr>
          <w:rFonts w:asciiTheme="majorBidi" w:hAnsiTheme="majorBidi" w:cstheme="majorBidi" w:hint="cs"/>
          <w:sz w:val="18"/>
          <w:szCs w:val="18"/>
          <w:rtl/>
        </w:rPr>
        <w:t>شيماء رضا سالم سالم</w:t>
      </w:r>
    </w:p>
    <w:p w:rsidR="005B2171" w:rsidRPr="00426F7E" w:rsidRDefault="005B2171" w:rsidP="005B2171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قسم الدعوة وأصول الدين</w:t>
      </w:r>
    </w:p>
    <w:p w:rsidR="005B2171" w:rsidRPr="00426F7E" w:rsidRDefault="005B2171" w:rsidP="005B2171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كلية العلوم الإسلامية – جامعة المدينة العالمية</w:t>
      </w:r>
    </w:p>
    <w:p w:rsidR="005B2171" w:rsidRPr="00426F7E" w:rsidRDefault="005B2171" w:rsidP="005B2171">
      <w:pPr>
        <w:jc w:val="center"/>
        <w:rPr>
          <w:rFonts w:asciiTheme="majorBidi" w:hAnsiTheme="majorBidi" w:cstheme="majorBidi"/>
          <w:sz w:val="18"/>
          <w:szCs w:val="18"/>
          <w:rtl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شاه علم - ماليزيا</w:t>
      </w:r>
    </w:p>
    <w:p w:rsidR="005B2171" w:rsidRDefault="0025572B" w:rsidP="00052B64">
      <w:pPr>
        <w:tabs>
          <w:tab w:val="left" w:pos="4050"/>
        </w:tabs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hyperlink r:id="rId6" w:history="1">
        <w:r w:rsidR="00052B64">
          <w:rPr>
            <w:rStyle w:val="Hyperlink"/>
            <w:rFonts w:asciiTheme="majorBidi" w:hAnsiTheme="majorBidi" w:cstheme="majorBidi"/>
            <w:b/>
            <w:bCs/>
            <w:sz w:val="18"/>
            <w:szCs w:val="18"/>
          </w:rPr>
          <w:t>sh_only_a@yahoo.com</w:t>
        </w:r>
      </w:hyperlink>
    </w:p>
    <w:p w:rsidR="005B2171" w:rsidRPr="00426F7E" w:rsidRDefault="005B2171" w:rsidP="005B2171">
      <w:pPr>
        <w:tabs>
          <w:tab w:val="left" w:pos="4050"/>
        </w:tabs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5B2171" w:rsidRDefault="005B2171" w:rsidP="005B2171">
      <w:pPr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  <w:sectPr w:rsidR="005B2171" w:rsidSect="004168A0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5B2171" w:rsidRPr="005B2171" w:rsidRDefault="005B2171" w:rsidP="005B2171">
      <w:pPr>
        <w:jc w:val="center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5B2171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 w:rsidRPr="005B2171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أبرز رجال هذه الحقبة اشتغالًا بالقراءات</w:t>
      </w:r>
    </w:p>
    <w:p w:rsidR="005B2171" w:rsidRPr="005B2171" w:rsidRDefault="005B2171" w:rsidP="005B2171">
      <w:pPr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</w:p>
    <w:p w:rsidR="005B2171" w:rsidRPr="005B2171" w:rsidRDefault="005B2171" w:rsidP="005B2171">
      <w:pPr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5B2171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 w:rsidRPr="005B2171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الحقبه،اشتتغالا، حجب</w:t>
      </w:r>
    </w:p>
    <w:p w:rsidR="005B2171" w:rsidRPr="005B2171" w:rsidRDefault="005B2171" w:rsidP="005B2171">
      <w:pPr>
        <w:numPr>
          <w:ilvl w:val="0"/>
          <w:numId w:val="2"/>
        </w:numPr>
        <w:spacing w:after="200"/>
        <w:ind w:left="64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B2171">
        <w:rPr>
          <w:rFonts w:asciiTheme="majorBidi" w:hAnsiTheme="majorBidi" w:cstheme="majorBidi"/>
          <w:b/>
          <w:bCs/>
          <w:sz w:val="18"/>
          <w:szCs w:val="18"/>
          <w:rtl/>
        </w:rPr>
        <w:t>.المقدمة</w:t>
      </w:r>
    </w:p>
    <w:p w:rsidR="005B2171" w:rsidRPr="005B2171" w:rsidRDefault="005B2171" w:rsidP="005B2171">
      <w:pPr>
        <w:jc w:val="center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5B217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 w:rsidRPr="005B2171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أبرز رجال هذه الحقبة اشتغالًا بالقراءات</w:t>
      </w:r>
    </w:p>
    <w:p w:rsidR="005B2171" w:rsidRPr="005B2171" w:rsidRDefault="005B2171" w:rsidP="005B2171">
      <w:pPr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5B2171" w:rsidRPr="005B2171" w:rsidRDefault="005B2171" w:rsidP="005B2171">
      <w:pPr>
        <w:numPr>
          <w:ilvl w:val="0"/>
          <w:numId w:val="3"/>
        </w:numPr>
        <w:spacing w:after="200"/>
        <w:ind w:left="73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B2171">
        <w:rPr>
          <w:rFonts w:asciiTheme="majorBidi" w:hAnsiTheme="majorBidi" w:cstheme="majorBidi"/>
          <w:b/>
          <w:bCs/>
          <w:sz w:val="18"/>
          <w:szCs w:val="18"/>
          <w:rtl/>
        </w:rPr>
        <w:t>.عنوان المقال</w:t>
      </w:r>
    </w:p>
    <w:p w:rsidR="005B2171" w:rsidRPr="005B2171" w:rsidRDefault="005B2171" w:rsidP="005B2171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لقد حجب كتاب سيبويه الجهود النحوية التي شغلت قرنًا قبله أو يزيد، مذ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شرع أبو الأسود الدؤلي بوضع أسس هذا العلم </w:t>
      </w:r>
      <w:r w:rsidRPr="005B2171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أي: علم النحو</w:t>
      </w:r>
      <w:r w:rsidRPr="005B2171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فنحن لا نعرف شيئًا عن نحاة هذه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الحقبة إلا من خلال ما نقله المتأخرون عنهم، فقد ضاع كتاب عيسى بن عمر، وهو كتاب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(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الإكمال)، وكتاب (الجامع)، وأيضًا كتاب يونس بن حبيب المسمى بكتاب: (معاني القرآن الكريم)،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كما ضاعت كتب، ورسائل أخرى كثيرة، وقد انسحب هذا الغموض في آرائهم على مواقفهم من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القراءات النادرة، فلم يمكننا من الاهتداء الدقيق إلى معرفتها، فاقتصرنا على ما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أتاحته لنا النصوص المتفرقة عنهم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5B2171" w:rsidRPr="005B2171" w:rsidRDefault="005B2171" w:rsidP="005B2171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</w:pP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ولعل أبرز رجال هذه الحقبة اشتغالًا بهذه القراءات: عيسى بن عمر الثقفي، المتوفى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سنة تسع وأربعين بعد المائة، وأبو عمرو بن العلاء، المتوفى سنة أربع وخمسين بعد المائة، والخليل بن أحمد الفراهيدي،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المتوفى سنة خمس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وسبعين بعد المائة، ويونس بن حبيب الضبي المتوفى سنة ثنتين وثمانين بعد المائة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5B2171" w:rsidRPr="005B2171" w:rsidRDefault="005B2171" w:rsidP="005B2171">
      <w:pPr>
        <w:pStyle w:val="NormalWeb"/>
        <w:bidi/>
        <w:spacing w:before="0" w:before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أب</w:t>
      </w:r>
      <w:r w:rsidRPr="005B2171">
        <w:rPr>
          <w:rFonts w:ascii="Simplified Arabic" w:hAnsi="Simplified Arabic" w:cs="AL-Hotham" w:hint="cs"/>
          <w:b/>
          <w:bCs/>
          <w:sz w:val="18"/>
          <w:szCs w:val="18"/>
          <w:rtl/>
        </w:rPr>
        <w:t>و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عمرو بن العلاء:</w:t>
      </w:r>
    </w:p>
    <w:p w:rsidR="005B2171" w:rsidRPr="005B2171" w:rsidRDefault="005B2171" w:rsidP="005B2171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والآن مع أبي عمرو بن العلاء: كان أبو عمرو بن العلاء قارئًا جليلًا، وعالمًا بالعربية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ولغتها،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كثير الاحتجاج للقراءات، شديد التمسك بسنتها، فمن أقواله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لولا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أنه ليس لي أن أقرأ إلا بما قرئ لقرأت كذا، وكذا، وكذا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لكنه كان أيضًا ذا منهج واضح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يلوذ به إذا لم يقتنع بالرواية، وكان يتوخى في قراءاته الأكثر والأشيع، ويبتعد عن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الشواذ، وقد صرح بذلك في قوله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إني أتهم الواحد الشاذ إذا كان على خلاف ما جاءت به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العامة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". </w:t>
      </w:r>
    </w:p>
    <w:p w:rsidR="005B2171" w:rsidRPr="005B2171" w:rsidRDefault="005B2171" w:rsidP="005B2171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</w:pP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وقد طبق ذلك بحق القراءات النادرة القليلة فضلًا عن القراءات المشهورة، فقد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رفض قراءة محمد بن مروان السدي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هؤلاء بناتي هن أطهرَ لكم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بنصب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أطهر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، ورمى صاحبها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باللحن، ورفض قراءة الأعرج، وشيبة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5B2171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5B2171">
        <w:rPr>
          <w:rFonts w:ascii="QCF_P500" w:hAnsi="QCF_P500" w:cs="QCF_P500"/>
          <w:b/>
          <w:bCs/>
          <w:sz w:val="18"/>
          <w:szCs w:val="18"/>
          <w:rtl/>
        </w:rPr>
        <w:t>ﭚ ﭛ ﭜ ﭝ ﭞ</w:t>
      </w:r>
      <w:r w:rsidRPr="005B2171">
        <w:rPr>
          <w:rFonts w:ascii="QCF_P500" w:hAnsi="QCF_P500" w:cs="DecoType Thuluth"/>
          <w:b/>
          <w:bCs/>
          <w:sz w:val="18"/>
          <w:szCs w:val="18"/>
          <w:rtl/>
        </w:rPr>
        <w:t>}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الجاثية: 14] ببناء الفعل للمجهول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"لي</w:t>
      </w:r>
      <w:r w:rsidRPr="005B2171">
        <w:rPr>
          <w:rFonts w:ascii="Simplified Arabic" w:hAnsi="Simplified Arabic" w:cs="AL-Hotham" w:hint="cs"/>
          <w:b/>
          <w:bCs/>
          <w:sz w:val="18"/>
          <w:szCs w:val="18"/>
          <w:rtl/>
        </w:rPr>
        <w:t>ُ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جز</w:t>
      </w:r>
      <w:r w:rsidRPr="005B2171">
        <w:rPr>
          <w:rFonts w:ascii="Simplified Arabic" w:hAnsi="Simplified Arabic" w:cs="AL-Hotham" w:hint="cs"/>
          <w:b/>
          <w:bCs/>
          <w:sz w:val="18"/>
          <w:szCs w:val="18"/>
          <w:rtl/>
        </w:rPr>
        <w:t>َ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ى قوم</w:t>
      </w:r>
      <w:r w:rsidRPr="005B2171">
        <w:rPr>
          <w:rFonts w:ascii="Simplified Arabic" w:hAnsi="Simplified Arabic" w:cs="AL-Hotham" w:hint="cs"/>
          <w:b/>
          <w:bCs/>
          <w:sz w:val="18"/>
          <w:szCs w:val="18"/>
          <w:rtl/>
        </w:rPr>
        <w:t>ً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ا بما كانوا يكسبون"، كما رفض قراءة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ما كان ينبغي أن نتخذ من دونك من أولياء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ببناء نتخذ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للمجهول قال: لا يجوز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نتخذ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،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ولو كانت لحذفت </w:t>
      </w:r>
      <w:r w:rsidRPr="005B2171">
        <w:rPr>
          <w:rFonts w:ascii="Simplified Arabic" w:hAnsi="Simplified Arabic" w:cs="AL-Hotham" w:hint="cs"/>
          <w:b/>
          <w:bCs/>
          <w:sz w:val="18"/>
          <w:szCs w:val="18"/>
          <w:rtl/>
        </w:rPr>
        <w:t>"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من</w:t>
      </w:r>
      <w:r w:rsidRPr="005B2171">
        <w:rPr>
          <w:rFonts w:ascii="Simplified Arabic" w:hAnsi="Simplified Arabic" w:cs="AL-Hotham" w:hint="cs"/>
          <w:b/>
          <w:bCs/>
          <w:sz w:val="18"/>
          <w:szCs w:val="18"/>
          <w:rtl/>
        </w:rPr>
        <w:t>"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الثانية، فقلت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أن نُتخذ من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دونك أولياء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".</w:t>
      </w:r>
    </w:p>
    <w:p w:rsidR="005B2171" w:rsidRPr="005B2171" w:rsidRDefault="005B2171" w:rsidP="005B2171">
      <w:pPr>
        <w:pStyle w:val="NormalWeb"/>
        <w:bidi/>
        <w:spacing w:before="0" w:beforeAutospacing="0"/>
        <w:jc w:val="lowKashida"/>
        <w:rPr>
          <w:rFonts w:ascii="Simplified Arabic" w:hAnsi="Simplified Arabic" w:cs="AL-Hotham"/>
          <w:b/>
          <w:bCs/>
          <w:sz w:val="18"/>
          <w:szCs w:val="18"/>
          <w:rtl/>
        </w:rPr>
      </w:pP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عيسى بن عمر:</w:t>
      </w:r>
    </w:p>
    <w:p w:rsidR="005B2171" w:rsidRPr="005B2171" w:rsidRDefault="005B2171" w:rsidP="005B2171">
      <w:pPr>
        <w:pStyle w:val="NormalWeb"/>
        <w:bidi/>
        <w:spacing w:before="24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بعد ذلك عيسى بن عمر: هذا الرجل لم يكن معاصروه، وتلاميذه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بأقل منه جراءة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في رد هذه القراءات إذا لم توافق مقياسه، لقد كان لعيسى منهج واضح أيضًا في النظر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إلى لغة العرب، قال أبو بكر بن الأنباري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إن عيسى بن عمر وضع كتابه على الأكثر، وبوبه،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وهذبه، وسمى ما شذ عن الأئمة: لغات، وكان له أيضًا اختيار في القراءة على سمت العربية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انفرد به، وكان يغلب عليه حب النصب، فأباه عليه الناس، وقد اعتقد بعضهم أن عيسى كان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يرتجل هذه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lastRenderedPageBreak/>
        <w:t>الوجوه، ويقرأ بما يوافق مذهبه النحوي من دون أثر،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كما فعل ابن مقسَم العطار؛ ولذلك استنكره الناس عليه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5B2171" w:rsidRPr="005B2171" w:rsidRDefault="005B2171" w:rsidP="005B2171">
      <w:pPr>
        <w:pStyle w:val="NormalWeb"/>
        <w:bidi/>
        <w:spacing w:before="24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والصحيح، أنه كان يختار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من المأثور ما يوافق مذهبه، ولعله وجد الفعل أقوى العوامل،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فآثر تقديره على غيره فاختار مثلًا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والسارق والسارقة فاقطعوا أيديهما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بالنصب،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وله في أستاذه ابن محيصن السهمي قدوة وسبط، فهذا أيضًا كان له اختيار مماثل رغب عنه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الناس،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واختيار عيسى بعد هذا شذوذ اختيار، لا اختيار شذوذ؛ لأنه كان يقرأ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بكثير من الوجوه التي كان عليها الأئمة المشهورون، أما استنكار الناس لاختياره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فيعود إلى خروجه على إجماعهم،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وهو مصير كل من خالف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5B2171" w:rsidRPr="005B2171" w:rsidRDefault="005B2171" w:rsidP="005B2171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ولعل اختيار عيسى في القراءة يجلو لنا موقفه من القراءات النوادر، فهو يقبل منها ما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يوافق مذهبه، ويعتد به في بناء القاعدة النحوية، ولو كان مخالفًا للرسم، فهو يجيز نصب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غير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من قوله تعالى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5B2171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5B2171">
        <w:rPr>
          <w:rFonts w:ascii="QCF_P158" w:hAnsi="QCF_P158" w:cs="QCF_P158"/>
          <w:b/>
          <w:bCs/>
          <w:sz w:val="18"/>
          <w:szCs w:val="18"/>
          <w:rtl/>
        </w:rPr>
        <w:t>ﭮ ﭯ ﭰ ﭱ ﭲ</w:t>
      </w:r>
      <w:r w:rsidRPr="005B2171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}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الأعراف: 59] يقرؤها</w:t>
      </w:r>
      <w:r w:rsidRPr="005B2171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: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ما لكم من إله غير</w:t>
      </w:r>
      <w:r w:rsidRPr="005B2171">
        <w:rPr>
          <w:rFonts w:ascii="Simplified Arabic" w:hAnsi="Simplified Arabic" w:cs="AL-Hotham" w:hint="cs"/>
          <w:b/>
          <w:bCs/>
          <w:sz w:val="18"/>
          <w:szCs w:val="18"/>
          <w:rtl/>
        </w:rPr>
        <w:t>َ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ه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على الاستثناء، ويجيز منع الصرف في كلمة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مصر من قوله تعالى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5B2171">
        <w:rPr>
          <w:rFonts w:ascii="Simplified Arabic" w:hAnsi="Simplified Arabic" w:cs="DecoType Thuluth" w:hint="cs"/>
          <w:b/>
          <w:bCs/>
          <w:sz w:val="18"/>
          <w:szCs w:val="18"/>
          <w:rtl/>
        </w:rPr>
        <w:t>{</w:t>
      </w:r>
      <w:r w:rsidRPr="005B2171">
        <w:rPr>
          <w:rFonts w:ascii="QCF_P009" w:hAnsi="QCF_P009" w:cs="QCF_P009"/>
          <w:b/>
          <w:bCs/>
          <w:sz w:val="18"/>
          <w:szCs w:val="18"/>
          <w:rtl/>
        </w:rPr>
        <w:t>ﯜ ﯝ</w:t>
      </w:r>
      <w:r w:rsidRPr="005B2171">
        <w:rPr>
          <w:rFonts w:ascii="QCF_P009" w:hAnsi="QCF_P009" w:cs="DecoType Thuluth"/>
          <w:b/>
          <w:bCs/>
          <w:sz w:val="18"/>
          <w:szCs w:val="18"/>
          <w:rtl/>
        </w:rPr>
        <w:t>}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 xml:space="preserve">[البقرة: 61]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على إرادة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مصر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من الأمصار قياسًا على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هند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".</w:t>
      </w:r>
    </w:p>
    <w:p w:rsidR="005B2171" w:rsidRPr="005B2171" w:rsidRDefault="005B2171" w:rsidP="005B2171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ويقرأ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قوله تعالى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5B2171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5B2171">
        <w:rPr>
          <w:rFonts w:ascii="QCF_P189" w:hAnsi="QCF_P189" w:cs="QCF_P189"/>
          <w:b/>
          <w:bCs/>
          <w:sz w:val="18"/>
          <w:szCs w:val="18"/>
          <w:rtl/>
        </w:rPr>
        <w:t>ﭝ ﭞ ﭟ</w:t>
      </w:r>
      <w:r w:rsidRPr="005B2171">
        <w:rPr>
          <w:rFonts w:ascii="QCF_P189" w:hAnsi="QCF_P189" w:cs="DecoType Thuluth"/>
          <w:b/>
          <w:bCs/>
          <w:sz w:val="18"/>
          <w:szCs w:val="18"/>
          <w:rtl/>
        </w:rPr>
        <w:t>}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التوبة: 15]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ويذهب غيظ قلوبكم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، ولكنه يرفض مع أستاذه أبي عمرو قراءة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نتخذ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؛ للسبب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نفسه الذي بينه أبو عمرو قبل قليل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5B2171" w:rsidRPr="005B2171" w:rsidRDefault="005B2171" w:rsidP="005B2171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أما الخليل بن أحمد، ويونس بن حبيب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فيبدوان أكثر استدلالًا لهذا الأثر،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ففي كتاب سيبويه تشيع روح الخليل السمحة، وموقفه الهادئ من هذه القراءات، قال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الصيرفي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كان الغاية في استخراج مسائل النحو، وتصحيح القياس فيه، فهو يخرج قراءة عاصم الجحدري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ومن تقنت منكن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على تحمل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من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معنى التي، ويقبل نصب غير من قوله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اهْدِنَا الصِّرَاطَ الْمُسْتَقِيمَ </w:t>
      </w:r>
      <w:r w:rsidRPr="005B2171">
        <w:rPr>
          <w:rFonts w:ascii="Simplified Arabic" w:hAnsi="Simplified Arabic" w:cs="AL-Hotham" w:hint="cs"/>
          <w:b/>
          <w:bCs/>
          <w:sz w:val="18"/>
          <w:szCs w:val="18"/>
          <w:rtl/>
        </w:rPr>
        <w:t xml:space="preserve">*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صِرَاطَ الَّذِينَ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أَنْعَمْتَ عَلَيْهِمْ غَيْرَ الْمَغْضُوبِ عَلَيْهِمْ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 [الفاتحة: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6، 7] على حذف</w:t>
      </w:r>
      <w:r w:rsidRPr="005B2171">
        <w:rPr>
          <w:rFonts w:ascii="Simplified Arabic" w:hAnsi="Simplified Arabic" w:cs="AL-Hotham" w:hint="cs"/>
          <w:b/>
          <w:bCs/>
          <w:sz w:val="18"/>
          <w:szCs w:val="18"/>
          <w:rtl/>
        </w:rPr>
        <w:t>،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أعني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5B2171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5B2171">
        <w:rPr>
          <w:rFonts w:ascii="QCF_P001" w:hAnsi="QCF_P001" w:cs="QCF_P001"/>
          <w:b/>
          <w:bCs/>
          <w:sz w:val="18"/>
          <w:szCs w:val="18"/>
          <w:rtl/>
        </w:rPr>
        <w:t>ﭯ ﭰ ﭱ</w:t>
      </w:r>
      <w:r w:rsidRPr="005B2171">
        <w:rPr>
          <w:rFonts w:ascii="QCF_P001" w:hAnsi="QCF_P001" w:cs="DecoType Thuluth"/>
          <w:b/>
          <w:bCs/>
          <w:sz w:val="18"/>
          <w:szCs w:val="18"/>
          <w:rtl/>
        </w:rPr>
        <w:t>}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، أو على الحال من الهاء في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عليهم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، ويفضل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قراءة الأعرج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يَا جِبَالُ أَوِّبِي مَعَهُ وَالطَّيْرُ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برفع الطير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5B2171" w:rsidRPr="005B2171" w:rsidRDefault="005B2171" w:rsidP="005B2171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ولعل خير ما يؤكد هذه الروح العلمية السمحة لديه ما نجده من مراجعة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سيبويه له في كثير من المسائل الشائكة، من ذلك: أن سيبويه سأله عن وجه النصب في قوله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تعالى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5B2171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5B2171">
        <w:rPr>
          <w:rFonts w:ascii="QCF_P310" w:hAnsi="QCF_P310" w:cs="QCF_P310"/>
          <w:b/>
          <w:bCs/>
          <w:sz w:val="18"/>
          <w:szCs w:val="18"/>
          <w:rtl/>
        </w:rPr>
        <w:t>ﭼ ﭽ ﭾ ﭿ ﮀ ﮁ ﮂ ﮃ ﮄ ﮅ</w:t>
      </w:r>
      <w:r w:rsidRPr="005B2171">
        <w:rPr>
          <w:rFonts w:ascii="QCF_P310" w:hAnsi="QCF_P310" w:cs="DecoType Thuluth"/>
          <w:b/>
          <w:bCs/>
          <w:sz w:val="18"/>
          <w:szCs w:val="18"/>
          <w:rtl/>
        </w:rPr>
        <w:t>}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مريم: 69]، فقال له: القياس النصب، كما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سأل يونس عن وجه نصب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الحمدَ لله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، فقال: فسألت عنها يونس، فزعم أنها عربية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5B2171" w:rsidRPr="005B2171" w:rsidRDefault="005B2171" w:rsidP="005B2171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فالخليل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ويونس لا يردان قراءة،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بل يقبلانها ويعدانها إلى لغات العرب، بل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كان الخليل يعتد بها كثيرًا، فيقيس عليها أحيانًا، كقياسه قول العرب: ولا سيما زيد، على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قراءة رؤبة بن العجاج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إن الله لا يستحيي أن يضرب مثلًا ما بعوضةٌ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بالرفع، أو يحتج بها كاحتجاجه لجواز الرفع فيما ينتصب في المعرفة كقولهم: هذا عبد الله منطلق لحرف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ابن مسعود،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وهذا بعلي شيخ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".</w:t>
      </w:r>
    </w:p>
    <w:p w:rsidR="005B2171" w:rsidRPr="005B2171" w:rsidRDefault="005B2171" w:rsidP="005B2171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</w:pP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يمكننا إذا أن نقسم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نحاة هذه الفترة،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أو هذا الزمن إلى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فريقين: الأول: يعمل مقياسه فيها؛ فيأخذ منها ويرفض، ويمثله: أبو عمرو، وعيسى. والثاني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</w:rPr>
        <w:t>يقبلها ويسلم، ويصحح مقياسه وفق ما تقتضيه، ويمثله: الخليل، ويونس</w:t>
      </w:r>
      <w:r w:rsidRPr="005B217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5B2171" w:rsidRPr="005B2171" w:rsidRDefault="005B2171" w:rsidP="005B2171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</w:p>
    <w:p w:rsidR="005B2171" w:rsidRPr="005B2171" w:rsidRDefault="005B2171" w:rsidP="005B2171">
      <w:pPr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5B2171" w:rsidRPr="005B2171" w:rsidRDefault="005B2171" w:rsidP="005B2171">
      <w:p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B2171">
        <w:rPr>
          <w:rFonts w:asciiTheme="majorBidi" w:hAnsiTheme="majorBidi" w:cstheme="majorBidi" w:hint="cs"/>
          <w:b/>
          <w:bCs/>
          <w:sz w:val="18"/>
          <w:szCs w:val="18"/>
          <w:rtl/>
        </w:rPr>
        <w:t>المراجع والمصادر</w:t>
      </w:r>
    </w:p>
    <w:p w:rsidR="005B2171" w:rsidRPr="005B2171" w:rsidRDefault="005B2171" w:rsidP="005B2171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B217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(المحتسب في تبيين وجوه شواذ القراءات والإيضاح عنها) </w:t>
      </w:r>
    </w:p>
    <w:p w:rsidR="005B2171" w:rsidRPr="005B2171" w:rsidRDefault="005B2171" w:rsidP="005B2171">
      <w:pPr>
        <w:ind w:left="46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B2171"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جني،  بتحقيق علي النجدي ناصف وزميليه، القاهرة، طبعة المجلس الأعلى للشئون الإسلامية، 1994م</w:t>
      </w:r>
    </w:p>
    <w:p w:rsidR="005B2171" w:rsidRPr="005B2171" w:rsidRDefault="005B2171" w:rsidP="005B2171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B2171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(مرشد الأعزة في بيان موقف العلماء من القراءات الشاذة) </w:t>
      </w:r>
    </w:p>
    <w:p w:rsidR="005B2171" w:rsidRPr="005B2171" w:rsidRDefault="005B2171" w:rsidP="005B2171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B2171">
        <w:rPr>
          <w:rFonts w:asciiTheme="majorBidi" w:hAnsiTheme="majorBidi" w:cstheme="majorBidi"/>
          <w:b/>
          <w:bCs/>
          <w:sz w:val="18"/>
          <w:szCs w:val="18"/>
          <w:rtl/>
        </w:rPr>
        <w:t>عبد الكريم إبراهيم صالح،  دار المحدثين, 2006م</w:t>
      </w:r>
    </w:p>
    <w:p w:rsidR="005B2171" w:rsidRPr="005B2171" w:rsidRDefault="005B2171" w:rsidP="005B2171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B2171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5B217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إعراب القراءات الشواذ) </w:t>
      </w:r>
    </w:p>
    <w:p w:rsidR="005B2171" w:rsidRPr="005B2171" w:rsidRDefault="005B2171" w:rsidP="005B2171">
      <w:pPr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B2171">
        <w:rPr>
          <w:rFonts w:asciiTheme="majorBidi" w:hAnsiTheme="majorBidi" w:cstheme="majorBidi"/>
          <w:b/>
          <w:bCs/>
          <w:sz w:val="18"/>
          <w:szCs w:val="18"/>
          <w:rtl/>
        </w:rPr>
        <w:t>أبو البقاء العكبري،  بتحقيق محمد السيد أحمد عزوز،  عالم الكتب, 1996م</w:t>
      </w:r>
    </w:p>
    <w:p w:rsidR="005B2171" w:rsidRPr="005B2171" w:rsidRDefault="005B2171" w:rsidP="005B2171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B217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(الاختلاف بين القراءات) </w:t>
      </w:r>
    </w:p>
    <w:p w:rsidR="005B2171" w:rsidRPr="005B2171" w:rsidRDefault="005B2171" w:rsidP="005B2171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B2171">
        <w:rPr>
          <w:rFonts w:asciiTheme="majorBidi" w:hAnsiTheme="majorBidi" w:cstheme="majorBidi"/>
          <w:b/>
          <w:bCs/>
          <w:sz w:val="18"/>
          <w:szCs w:val="18"/>
          <w:rtl/>
        </w:rPr>
        <w:t>أحمد البيلي،  بيروت، دار الجبل، 1988م</w:t>
      </w:r>
    </w:p>
    <w:p w:rsidR="005B2171" w:rsidRPr="005B2171" w:rsidRDefault="005B2171" w:rsidP="005B2171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B217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النحوي) </w:t>
      </w:r>
    </w:p>
    <w:p w:rsidR="005B2171" w:rsidRPr="005B2171" w:rsidRDefault="005B2171" w:rsidP="005B2171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B2171">
        <w:rPr>
          <w:rFonts w:asciiTheme="majorBidi" w:hAnsiTheme="majorBidi" w:cstheme="majorBidi"/>
          <w:b/>
          <w:bCs/>
          <w:sz w:val="18"/>
          <w:szCs w:val="18"/>
          <w:rtl/>
        </w:rPr>
        <w:t>محمود أحمد الصغير، بيروت، دار الفكر المعاصر, 1999م</w:t>
      </w:r>
    </w:p>
    <w:p w:rsidR="005B2171" w:rsidRPr="005B2171" w:rsidRDefault="005B2171" w:rsidP="005B2171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B217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(كتاب المصاحف) </w:t>
      </w:r>
    </w:p>
    <w:p w:rsidR="005B2171" w:rsidRPr="005B2171" w:rsidRDefault="005B2171" w:rsidP="005B2171">
      <w:pPr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B2171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الله بن أبي داود سليمان بن الأشعث السجستاني، بيروت، دار الكتب العلمية, 1985م</w:t>
      </w:r>
    </w:p>
    <w:p w:rsidR="005B2171" w:rsidRPr="005B2171" w:rsidRDefault="005B2171" w:rsidP="005B2171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B217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(مختصر في شواذ القران من كتاب البديع أو القراءات الشاذة) </w:t>
      </w:r>
    </w:p>
    <w:p w:rsidR="005B2171" w:rsidRPr="005B2171" w:rsidRDefault="005B2171" w:rsidP="005B2171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B2171">
        <w:rPr>
          <w:rFonts w:asciiTheme="majorBidi" w:hAnsiTheme="majorBidi" w:cstheme="majorBidi"/>
          <w:b/>
          <w:bCs/>
          <w:sz w:val="18"/>
          <w:szCs w:val="18"/>
          <w:rtl/>
        </w:rPr>
        <w:t>الحسين بن احمد ابن خالويه، دار الهجرة،  1934م</w:t>
      </w:r>
    </w:p>
    <w:p w:rsidR="005B2171" w:rsidRPr="005B2171" w:rsidRDefault="005B2171" w:rsidP="005B2171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B217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القرآنية في بلاد الشام) </w:t>
      </w:r>
    </w:p>
    <w:p w:rsidR="005B2171" w:rsidRPr="005B2171" w:rsidRDefault="005B2171" w:rsidP="005B2171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B2171">
        <w:rPr>
          <w:rFonts w:asciiTheme="majorBidi" w:hAnsiTheme="majorBidi" w:cstheme="majorBidi"/>
          <w:b/>
          <w:bCs/>
          <w:sz w:val="18"/>
          <w:szCs w:val="18"/>
          <w:rtl/>
        </w:rPr>
        <w:t>حسين عطوان، بيروت، دار الجيل, 1982م</w:t>
      </w:r>
    </w:p>
    <w:p w:rsidR="005B2171" w:rsidRPr="005B2171" w:rsidRDefault="005B2171" w:rsidP="005B2171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B2171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(القراءات الشاذة وتوجيهها من لغة العرب) </w:t>
      </w:r>
    </w:p>
    <w:p w:rsidR="005B2171" w:rsidRPr="005B2171" w:rsidRDefault="005B2171" w:rsidP="005B2171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B2171">
        <w:rPr>
          <w:rFonts w:asciiTheme="majorBidi" w:hAnsiTheme="majorBidi" w:cstheme="majorBidi"/>
          <w:b/>
          <w:bCs/>
          <w:sz w:val="18"/>
          <w:szCs w:val="18"/>
          <w:rtl/>
        </w:rPr>
        <w:t>عبد الفتاح القاضي، الهيئة العامة لشئون المطابع الأميرية، 1975م</w:t>
      </w:r>
    </w:p>
    <w:p w:rsidR="005B2171" w:rsidRPr="005B2171" w:rsidRDefault="005B2171" w:rsidP="005B2171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B217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(اليزيدي القارئ النحوي دراسة نحوية قرآنية) </w:t>
      </w:r>
    </w:p>
    <w:p w:rsidR="005B2171" w:rsidRPr="005B2171" w:rsidRDefault="005B2171" w:rsidP="005B2171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B2171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 ،  دار الحسين الإسلامية, 1989م.</w:t>
      </w:r>
    </w:p>
    <w:p w:rsidR="005B2171" w:rsidRPr="005B2171" w:rsidRDefault="005B2171" w:rsidP="005B2171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B217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(شواهد القراءات بين ابن هشام وابن عقيل، دراسة نحوية تحليلية) </w:t>
      </w:r>
    </w:p>
    <w:p w:rsidR="005B2171" w:rsidRPr="005B2171" w:rsidRDefault="005B2171" w:rsidP="005B2171">
      <w:pPr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B2171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سحلول،  دار الطباعة المحمدية, 1993م</w:t>
      </w:r>
    </w:p>
    <w:p w:rsidR="005B2171" w:rsidRPr="005B2171" w:rsidRDefault="005B2171" w:rsidP="005B2171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B217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أبي السمال العدوي) </w:t>
      </w:r>
    </w:p>
    <w:p w:rsidR="005B2171" w:rsidRPr="005B2171" w:rsidRDefault="005B2171" w:rsidP="005B2171">
      <w:pPr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B2171">
        <w:rPr>
          <w:rFonts w:asciiTheme="majorBidi" w:hAnsiTheme="majorBidi" w:cstheme="majorBidi"/>
          <w:b/>
          <w:bCs/>
          <w:sz w:val="18"/>
          <w:szCs w:val="18"/>
          <w:rtl/>
        </w:rPr>
        <w:t>حمدي عبد الفتاح مصطفى خليل، الجريس، القاهرة, 2000م</w:t>
      </w:r>
    </w:p>
    <w:p w:rsidR="005B2171" w:rsidRPr="005B2171" w:rsidRDefault="005B2171" w:rsidP="005B2171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B217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عبد الله بن مسعود مكانتها ومصادرها إحصاؤها) </w:t>
      </w:r>
    </w:p>
    <w:p w:rsidR="005B2171" w:rsidRPr="005B2171" w:rsidRDefault="005B2171" w:rsidP="005B2171">
      <w:pPr>
        <w:pStyle w:val="NormalWeb"/>
        <w:bidi/>
        <w:spacing w:before="0" w:beforeAutospacing="0" w:after="0" w:afterAutospacing="0"/>
        <w:ind w:left="284" w:firstLine="436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5B2171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محمد أحمد خاطر، دار الاعتصام, 1990م</w:t>
      </w:r>
    </w:p>
    <w:p w:rsidR="005B2171" w:rsidRPr="005B2171" w:rsidRDefault="005B2171" w:rsidP="005B2171">
      <w:pPr>
        <w:rPr>
          <w:b/>
          <w:bCs/>
          <w:sz w:val="18"/>
          <w:szCs w:val="18"/>
        </w:rPr>
      </w:pPr>
    </w:p>
    <w:p w:rsidR="005B2171" w:rsidRPr="005B2171" w:rsidRDefault="005B2171" w:rsidP="005B2171">
      <w:pPr>
        <w:rPr>
          <w:b/>
          <w:bCs/>
          <w:sz w:val="18"/>
          <w:szCs w:val="18"/>
        </w:rPr>
      </w:pPr>
    </w:p>
    <w:p w:rsidR="005B2171" w:rsidRDefault="005B2171" w:rsidP="005B2171">
      <w:pPr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  <w:sectPr w:rsidR="005B2171" w:rsidSect="005B2171">
          <w:type w:val="continuous"/>
          <w:pgSz w:w="11906" w:h="16838"/>
          <w:pgMar w:top="1440" w:right="1800" w:bottom="1440" w:left="1800" w:header="708" w:footer="708" w:gutter="0"/>
          <w:cols w:num="2" w:space="708"/>
          <w:bidi/>
          <w:rtlGutter/>
          <w:docGrid w:linePitch="360"/>
        </w:sectPr>
      </w:pPr>
    </w:p>
    <w:p w:rsidR="005B2171" w:rsidRDefault="005B2171" w:rsidP="005B2171">
      <w:pPr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5B2171" w:rsidRDefault="005B2171" w:rsidP="005B2171"/>
    <w:p w:rsidR="005B2171" w:rsidRPr="005B2171" w:rsidRDefault="005B2171" w:rsidP="005B2171">
      <w:pPr>
        <w:spacing w:before="60"/>
        <w:jc w:val="center"/>
        <w:rPr>
          <w:rFonts w:asciiTheme="majorBidi" w:eastAsia="Calibri" w:hAnsiTheme="majorBidi" w:cstheme="majorBidi"/>
          <w:b/>
          <w:bCs/>
          <w:sz w:val="48"/>
          <w:szCs w:val="48"/>
        </w:rPr>
      </w:pPr>
    </w:p>
    <w:p w:rsidR="004219C3" w:rsidRPr="005B2171" w:rsidRDefault="004219C3" w:rsidP="005B2171">
      <w:pPr>
        <w:spacing w:before="60"/>
        <w:jc w:val="center"/>
        <w:rPr>
          <w:rFonts w:asciiTheme="majorBidi" w:eastAsia="Calibri" w:hAnsiTheme="majorBidi" w:cstheme="majorBidi"/>
          <w:b/>
          <w:bCs/>
          <w:sz w:val="48"/>
          <w:szCs w:val="48"/>
        </w:rPr>
      </w:pPr>
    </w:p>
    <w:sectPr w:rsidR="004219C3" w:rsidRPr="005B2171" w:rsidSect="005B2171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Hotham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QCF_P500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158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009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189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001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310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">
    <w:nsid w:val="54AF07C7"/>
    <w:multiLevelType w:val="hybridMultilevel"/>
    <w:tmpl w:val="3DB6F57A"/>
    <w:lvl w:ilvl="0" w:tplc="ED52165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5B2171"/>
    <w:rsid w:val="00052B64"/>
    <w:rsid w:val="001A2769"/>
    <w:rsid w:val="0025572B"/>
    <w:rsid w:val="004168A0"/>
    <w:rsid w:val="004219C3"/>
    <w:rsid w:val="004A286F"/>
    <w:rsid w:val="005B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17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217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5B2171"/>
    <w:pPr>
      <w:bidi w:val="0"/>
      <w:spacing w:before="100" w:beforeAutospacing="1" w:after="100" w:afterAutospacing="1"/>
    </w:pPr>
    <w:rPr>
      <w:lang w:bidi="ar-SA"/>
    </w:rPr>
  </w:style>
  <w:style w:type="character" w:styleId="Hyperlink">
    <w:name w:val="Hyperlink"/>
    <w:basedOn w:val="DefaultParagraphFont"/>
    <w:uiPriority w:val="99"/>
    <w:unhideWhenUsed/>
    <w:rsid w:val="005B21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hmedmsamir5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BD41516-2978-43D3-86D5-FA35FD5D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948</Words>
  <Characters>5406</Characters>
  <Application>Microsoft Office Word</Application>
  <DocSecurity>0</DocSecurity>
  <Lines>45</Lines>
  <Paragraphs>12</Paragraphs>
  <ScaleCrop>false</ScaleCrop>
  <Company>Fannan</Company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دريم</cp:lastModifiedBy>
  <cp:revision>2</cp:revision>
  <dcterms:created xsi:type="dcterms:W3CDTF">2013-06-16T14:38:00Z</dcterms:created>
  <dcterms:modified xsi:type="dcterms:W3CDTF">2013-06-17T09:33:00Z</dcterms:modified>
</cp:coreProperties>
</file>