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1" w:rsidRDefault="005B2171" w:rsidP="005B2171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</w:pPr>
      <w:r w:rsidRPr="005B2171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أبرز رجال هذه الحقبة اشتغالًا بالقراءات</w:t>
      </w:r>
    </w:p>
    <w:p w:rsidR="005B2171" w:rsidRPr="00F7753E" w:rsidRDefault="005B2171" w:rsidP="005B2171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5B2171" w:rsidRPr="00426F7E" w:rsidRDefault="005B2171" w:rsidP="00052B64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052B64">
        <w:rPr>
          <w:rFonts w:asciiTheme="majorBidi" w:hAnsiTheme="majorBidi" w:cstheme="majorBidi" w:hint="cs"/>
          <w:sz w:val="18"/>
          <w:szCs w:val="18"/>
          <w:rtl/>
        </w:rPr>
        <w:t>شيماء رضا سالم سالم</w:t>
      </w:r>
    </w:p>
    <w:p w:rsidR="005B2171" w:rsidRPr="00426F7E" w:rsidRDefault="005B2171" w:rsidP="005B2171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5B2171" w:rsidRPr="00426F7E" w:rsidRDefault="005B2171" w:rsidP="005B2171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5B2171" w:rsidRPr="00426F7E" w:rsidRDefault="005B2171" w:rsidP="005B2171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5B2171" w:rsidRDefault="0025572B" w:rsidP="00052B64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6" w:history="1">
        <w:r w:rsidR="00052B64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sh_only_a@yahoo.com</w:t>
        </w:r>
      </w:hyperlink>
    </w:p>
    <w:p w:rsidR="005B2171" w:rsidRPr="00426F7E" w:rsidRDefault="005B2171" w:rsidP="005B2171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B2171" w:rsidRDefault="005B2171" w:rsidP="005B2171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5B2171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B2171" w:rsidRPr="005B2171" w:rsidRDefault="005B2171" w:rsidP="005B2171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5B217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أبرز رجال هذه الحقبة اشتغالًا بالقراءات</w:t>
      </w:r>
    </w:p>
    <w:p w:rsidR="005B2171" w:rsidRPr="005B2171" w:rsidRDefault="005B2171" w:rsidP="005B2171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5B2171" w:rsidRPr="005B2171" w:rsidRDefault="005B2171" w:rsidP="005B2171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5B2171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5B217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الحقبه،اشتتغالا، حجب</w:t>
      </w:r>
    </w:p>
    <w:p w:rsidR="005B2171" w:rsidRPr="005B2171" w:rsidRDefault="005B2171" w:rsidP="005B2171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5B2171" w:rsidRPr="005B2171" w:rsidRDefault="005B2171" w:rsidP="005B2171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5B2171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أبرز رجال هذه الحقبة اشتغالًا بالقراءات</w:t>
      </w:r>
    </w:p>
    <w:p w:rsidR="005B2171" w:rsidRPr="005B2171" w:rsidRDefault="005B2171" w:rsidP="005B2171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B2171" w:rsidRPr="005B2171" w:rsidRDefault="005B2171" w:rsidP="005B2171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لقد حجب كتاب سيبويه الجهود النحوية التي شغلت قرنًا قبله أو يزيد، مذ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شرع أبو الأسود الدؤلي بوضع أسس هذا العلم </w:t>
      </w:r>
      <w:r w:rsidRPr="005B2171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أي: علم النحو</w:t>
      </w:r>
      <w:r w:rsidRPr="005B2171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فنحن لا نعرف شيئًا عن نحاة هذه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الحقبة إلا من خلال ما نقله المتأخرون عنهم، فقد ضاع كتاب عيسى بن عمر، وهو كتاب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(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الإكمال)، وكتاب (الجامع)، وأيضًا كتاب يونس بن حبيب المسمى بكتاب: (معاني القرآن الكريم)،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كما ضاعت كتب، ورسائل أخرى كثيرة، وقد انسحب هذا الغموض في آرائهم على مواقفهم من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النادرة، فلم يمكننا من الاهتداء الدقيق إلى معرفتها، فاقتصرنا على ما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أتاحته لنا النصوص المتفرقة عنهم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ولعل أبرز رجال هذه الحقبة اشتغالًا بهذه القراءات: عيسى بن عمر الثقفي، المتوفى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سنة تسع وأربعين بعد المائة، وأبو عمرو بن العلاء، المتوفى سنة أربع وخمسين بعد المائة، والخليل بن أحمد الفراهيدي،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المتوفى سنة خمس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وسبعين بعد المائة، ويونس بن حبيب الضبي المتوفى سنة ثنتين وثمانين بعد المائة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أب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و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عمرو بن العلاء: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والآن مع أبي عمرو بن العلاء: كان أبو عمرو بن العلاء قارئًا جليلًا، وعالمًا بالعربية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ولغتها،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كثير الاحتجاج للقراءات، شديد التمسك بسنتها، فمن أقواله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لولا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أنه ليس لي أن أقرأ إلا بما قرئ لقرأت كذا، وكذا، وكذا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لكنه كان أيضًا ذا منهج واضح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يلوذ به إذا لم يقتنع بالرواية، وكان يتوخى في قراءاته الأكثر والأشيع، ويبتعد عن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الشواذ، وقد صرح بذلك في قوله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إني أتهم الواحد الشاذ إذا كان على خلاف ما جاءت به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العامة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وقد طبق ذلك بحق القراءات النادرة القليلة فضلًا عن القراءات المشهورة، فقد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رفض قراءة محمد بن مروان السدي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هؤلاء بناتي هن أطهرَ لكم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بنصب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أطهر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 ورمى صاحبها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باللحن، ورفض قراءة الأعرج، وشيبة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B2171">
        <w:rPr>
          <w:rFonts w:ascii="QCF_P500" w:hAnsi="QCF_P500" w:cs="QCF_P500"/>
          <w:b/>
          <w:bCs/>
          <w:sz w:val="18"/>
          <w:szCs w:val="18"/>
          <w:rtl/>
        </w:rPr>
        <w:t>ﭚ ﭛ ﭜ ﭝ ﭞ</w:t>
      </w:r>
      <w:r w:rsidRPr="005B2171">
        <w:rPr>
          <w:rFonts w:ascii="QCF_P500" w:hAnsi="QCF_P500" w:cs="DecoType Thuluth"/>
          <w:b/>
          <w:bCs/>
          <w:sz w:val="18"/>
          <w:szCs w:val="18"/>
          <w:rtl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الجاثية: 14] ببناء الفعل للمجهول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"لي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ُ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جز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َ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ى قوم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 بما كانوا يكسبون"، كما رفض قراءة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ما كان ينبغي أن نتخذ من دونك من أولياء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ببناء نتخذ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للمجهول قال: لا يجوز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نتخذ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ولو كانت لحذفت 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من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الثانية، فقلت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أن نُتخذ من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دونك أولياء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B2171" w:rsidRPr="005B2171" w:rsidRDefault="005B2171" w:rsidP="005B2171">
      <w:pPr>
        <w:pStyle w:val="NormalWeb"/>
        <w:bidi/>
        <w:spacing w:before="0" w:before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عيسى بن عمر:</w:t>
      </w:r>
    </w:p>
    <w:p w:rsidR="005B2171" w:rsidRPr="005B2171" w:rsidRDefault="005B2171" w:rsidP="005B2171">
      <w:pPr>
        <w:pStyle w:val="NormalWeb"/>
        <w:bidi/>
        <w:spacing w:before="24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بعد ذلك عيسى بن عمر: هذا الرجل لم يكن معاصروه، وتلاميذه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بأقل منه جراءة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في رد هذه القراءات إذا لم توافق مقياسه، لقد كان لعيسى منهج واضح أيضًا في النظر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إلى لغة العرب، قال أبو بكر بن الأنباري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إن عيسى بن عمر وضع كتابه على الأكثر، وبوبه،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وهذبه، وسمى ما شذ عن الأئمة: لغات، وكان له أيضًا اختيار في القراءة على سمت العربية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انفرد به، وكان يغلب عليه حب النصب، فأباه عليه الناس، وقد اعتقد بعضهم أن عيسى كان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يرتجل هذه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الوجوه، ويقرأ بما يوافق مذهبه النحوي من دون أثر،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كما فعل ابن مقسَم العطار؛ ولذلك استنكره الناس عليه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5B2171" w:rsidRPr="005B2171" w:rsidRDefault="005B2171" w:rsidP="005B2171">
      <w:pPr>
        <w:pStyle w:val="NormalWeb"/>
        <w:bidi/>
        <w:spacing w:before="24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والصحيح، أنه كان يختار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من المأثور ما يوافق مذهبه، ولعله وجد الفعل أقوى العوامل،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فآثر تقديره على غيره فاختار مثلًا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والسارق والسارقة فاقطعوا أيديهما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بالنصب،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وله في أستاذه ابن محيصن السهمي قدوة وسبط، فهذا أيضًا كان له اختيار مماثل رغب عنه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الناس،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واختيار عيسى بعد هذا شذوذ اختيار، لا اختيار شذوذ؛ لأنه كان يقرأ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بكثير من الوجوه التي كان عليها الأئمة المشهورون، أما استنكار الناس لاختياره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فيعود إلى خروجه على إجماعهم،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وهو مصير كل من خالف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ولعل اختيار عيسى في القراءة يجلو لنا موقفه من القراءات النوادر، فهو يقبل منها ما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يوافق مذهبه، ويعتد به في بناء القاعدة النحوية، ولو كان مخالفًا للرسم، فهو يجيز نصب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غير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من قوله تعالى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B2171">
        <w:rPr>
          <w:rFonts w:ascii="QCF_P158" w:hAnsi="QCF_P158" w:cs="QCF_P158"/>
          <w:b/>
          <w:bCs/>
          <w:sz w:val="18"/>
          <w:szCs w:val="18"/>
          <w:rtl/>
        </w:rPr>
        <w:t>ﭮ ﭯ ﭰ ﭱ ﭲ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الأعراف: 59] يقرؤها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ما لكم من إله غير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َ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على الاستثناء، ويجيز منع الصرف في كلمة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مصر من قوله تعالى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 w:hint="cs"/>
          <w:b/>
          <w:bCs/>
          <w:sz w:val="18"/>
          <w:szCs w:val="18"/>
          <w:rtl/>
        </w:rPr>
        <w:t>{</w:t>
      </w:r>
      <w:r w:rsidRPr="005B2171">
        <w:rPr>
          <w:rFonts w:ascii="QCF_P009" w:hAnsi="QCF_P009" w:cs="QCF_P009"/>
          <w:b/>
          <w:bCs/>
          <w:sz w:val="18"/>
          <w:szCs w:val="18"/>
          <w:rtl/>
        </w:rPr>
        <w:t>ﯜ ﯝ</w:t>
      </w:r>
      <w:r w:rsidRPr="005B2171">
        <w:rPr>
          <w:rFonts w:ascii="QCF_P009" w:hAnsi="QCF_P009" w:cs="DecoType Thuluth"/>
          <w:b/>
          <w:bCs/>
          <w:sz w:val="18"/>
          <w:szCs w:val="18"/>
          <w:rtl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[البقرة: 61]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على إرادة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مصر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من الأمصار قياسًا على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هند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ويقرأ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قوله تعالى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B2171">
        <w:rPr>
          <w:rFonts w:ascii="QCF_P189" w:hAnsi="QCF_P189" w:cs="QCF_P189"/>
          <w:b/>
          <w:bCs/>
          <w:sz w:val="18"/>
          <w:szCs w:val="18"/>
          <w:rtl/>
        </w:rPr>
        <w:t>ﭝ ﭞ ﭟ</w:t>
      </w:r>
      <w:r w:rsidRPr="005B2171">
        <w:rPr>
          <w:rFonts w:ascii="QCF_P189" w:hAnsi="QCF_P189" w:cs="DecoType Thuluth"/>
          <w:b/>
          <w:bCs/>
          <w:sz w:val="18"/>
          <w:szCs w:val="18"/>
          <w:rtl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التوبة: 15]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ويذهب غيظ قلوبكم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 ولكنه يرفض مع أستاذه أبي عمرو قراءة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نتخذ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؛ للسبب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نفسه الذي بينه أبو عمرو قبل قليل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أما الخليل بن أحمد، ويونس بن حبيب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فيبدوان أكثر استدلالًا لهذا الأثر،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ففي كتاب سيبويه تشيع روح الخليل السمحة، وموقفه الهادئ من هذه القراءات، قال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الصيرفي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كان الغاية في استخراج مسائل النحو، وتصحيح القياس فيه، فهو يخرج قراءة عاصم الجحدري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ومن تقنت منكن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على تحمل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من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معنى التي، ويقبل نصب غير من قوله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اهْدِنَا الصِّرَاطَ الْمُسْتَقِيمَ 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*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صِرَاطَ الَّذِينَ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أَنْعَمْتَ عَلَيْهِمْ غَيْرَ الْمَغْضُوبِ عَلَيْهِمْ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 [الفاتحة: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6، 7] على حذف</w:t>
      </w:r>
      <w:r w:rsidRPr="005B2171">
        <w:rPr>
          <w:rFonts w:ascii="Simplified Arabic" w:hAnsi="Simplified Arabic" w:cs="AL-Hotham" w:hint="cs"/>
          <w:b/>
          <w:bCs/>
          <w:sz w:val="18"/>
          <w:szCs w:val="18"/>
          <w:rtl/>
        </w:rPr>
        <w:t>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أعني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B2171">
        <w:rPr>
          <w:rFonts w:ascii="QCF_P001" w:hAnsi="QCF_P001" w:cs="QCF_P001"/>
          <w:b/>
          <w:bCs/>
          <w:sz w:val="18"/>
          <w:szCs w:val="18"/>
          <w:rtl/>
        </w:rPr>
        <w:t>ﭯ ﭰ ﭱ</w:t>
      </w:r>
      <w:r w:rsidRPr="005B2171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 أو على الحال من الهاء في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عليهم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 ويفضل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قراءة الأعرج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يَا جِبَالُ أَوِّبِي مَعَهُ وَالطَّيْرُ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برفع الطير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ولعل خير ما يؤكد هذه الروح العلمية السمحة لديه ما نجده من مراجعة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سيبويه له في كثير من المسائل الشائكة، من ذلك: أن سيبويه سأله عن وجه النصب في قوله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تعالى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B2171">
        <w:rPr>
          <w:rFonts w:ascii="QCF_P310" w:hAnsi="QCF_P310" w:cs="QCF_P310"/>
          <w:b/>
          <w:bCs/>
          <w:sz w:val="18"/>
          <w:szCs w:val="18"/>
          <w:rtl/>
        </w:rPr>
        <w:t>ﭼ ﭽ ﭾ ﭿ ﮀ ﮁ ﮂ ﮃ ﮄ ﮅ</w:t>
      </w:r>
      <w:r w:rsidRPr="005B2171">
        <w:rPr>
          <w:rFonts w:ascii="QCF_P310" w:hAnsi="QCF_P310" w:cs="DecoType Thuluth"/>
          <w:b/>
          <w:bCs/>
          <w:sz w:val="18"/>
          <w:szCs w:val="18"/>
          <w:rtl/>
        </w:rPr>
        <w:t>}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مريم: 69]، فقال له: القياس النصب، كما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سأل يونس عن وجه نصب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الحمدَ لله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، فقال: فسألت عنها يونس، فزعم أنها عربية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فالخليل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ويونس لا يردان قراءة،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بل يقبلانها ويعدانها إلى لغات العرب، بل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كان الخليل يعتد بها كثيرًا، فيقيس عليها أحيانًا، كقياسه قول العرب: ولا سيما زيد، على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قراءة رؤبة بن العجاج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إن الله لا يستحيي أن يضرب مثلًا ما بعوضةٌ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بالرفع، أو يحتج بها كاحتجاجه لجواز الرفع فيما ينتصب في المعرفة كقولهم: هذا عبد الله منطلق لحرف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ابن مسعود،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وهذا بعلي شيخ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B2171" w:rsidRPr="005B2171" w:rsidRDefault="005B2171" w:rsidP="005B2171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يمكننا إذا أن نقسم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نحاة هذه الفترة،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أو هذا الزمن إلى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فريقين: الأول: يعمل مقياسه فيها؛ فيأخذ منها ويرفض، ويمثله: أبو عمرو، وعيسى. والثاني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</w:rPr>
        <w:t>يقبلها ويسلم، ويصحح مقياسه وفق ما تقتضيه، ويمثله: الخليل، ويونس</w:t>
      </w:r>
      <w:r w:rsidRPr="005B2171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B2171" w:rsidRPr="005B2171" w:rsidRDefault="005B2171" w:rsidP="005B2171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</w:p>
    <w:p w:rsidR="005B2171" w:rsidRPr="005B2171" w:rsidRDefault="005B2171" w:rsidP="005B2171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B2171" w:rsidRPr="005B2171" w:rsidRDefault="005B2171" w:rsidP="005B2171">
      <w:p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5B2171" w:rsidRPr="005B2171" w:rsidRDefault="005B2171" w:rsidP="005B2171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(مرشد الأعزة في بيان موقف العلماء من القراءات الشاذة)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5B2171" w:rsidRPr="005B2171" w:rsidRDefault="005B2171" w:rsidP="005B2171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5B2171" w:rsidRPr="005B2171" w:rsidRDefault="005B2171" w:rsidP="005B2171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(القراءات الشاذة وتوجيهها من لغة العرب)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5B2171" w:rsidRPr="005B2171" w:rsidRDefault="005B2171" w:rsidP="005B2171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5B2171" w:rsidRPr="005B2171" w:rsidRDefault="005B2171" w:rsidP="005B2171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5B2171" w:rsidRPr="005B2171" w:rsidRDefault="005B2171" w:rsidP="005B2171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5B2171" w:rsidRPr="005B2171" w:rsidRDefault="005B2171" w:rsidP="005B2171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5B2171" w:rsidRPr="005B2171" w:rsidRDefault="005B2171" w:rsidP="005B2171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5B2171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5B2171" w:rsidRPr="005B2171" w:rsidRDefault="005B2171" w:rsidP="005B2171">
      <w:pPr>
        <w:rPr>
          <w:b/>
          <w:bCs/>
          <w:sz w:val="18"/>
          <w:szCs w:val="18"/>
        </w:rPr>
      </w:pPr>
    </w:p>
    <w:p w:rsidR="005B2171" w:rsidRPr="005B2171" w:rsidRDefault="005B2171" w:rsidP="005B2171">
      <w:pPr>
        <w:rPr>
          <w:b/>
          <w:bCs/>
          <w:sz w:val="18"/>
          <w:szCs w:val="18"/>
        </w:rPr>
      </w:pPr>
    </w:p>
    <w:p w:rsidR="005B2171" w:rsidRDefault="005B2171" w:rsidP="005B2171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5B2171" w:rsidSect="005B2171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5B2171" w:rsidRDefault="005B2171" w:rsidP="005B2171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B2171" w:rsidRDefault="005B2171" w:rsidP="005B2171"/>
    <w:p w:rsidR="005B2171" w:rsidRPr="005B2171" w:rsidRDefault="005B2171" w:rsidP="005B2171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p w:rsidR="004219C3" w:rsidRPr="005B2171" w:rsidRDefault="004219C3" w:rsidP="005B2171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sectPr w:rsidR="004219C3" w:rsidRPr="005B2171" w:rsidSect="005B2171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50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15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0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18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1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B2171"/>
    <w:rsid w:val="00052B64"/>
    <w:rsid w:val="001A2769"/>
    <w:rsid w:val="0025572B"/>
    <w:rsid w:val="004168A0"/>
    <w:rsid w:val="004219C3"/>
    <w:rsid w:val="004A286F"/>
    <w:rsid w:val="005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2171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5B2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medmsamir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41516-2978-43D3-86D5-FA35FD5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5406</Characters>
  <Application>Microsoft Office Word</Application>
  <DocSecurity>0</DocSecurity>
  <Lines>45</Lines>
  <Paragraphs>12</Paragraphs>
  <ScaleCrop>false</ScaleCrop>
  <Company>Fannan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دريم</cp:lastModifiedBy>
  <cp:revision>2</cp:revision>
  <dcterms:created xsi:type="dcterms:W3CDTF">2013-06-16T14:38:00Z</dcterms:created>
  <dcterms:modified xsi:type="dcterms:W3CDTF">2013-06-17T09:33:00Z</dcterms:modified>
</cp:coreProperties>
</file>