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72" w:rsidRDefault="00EA4472" w:rsidP="00EA4472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EA4472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موقف النحاة حتى القرن الثالث</w:t>
      </w:r>
    </w:p>
    <w:p w:rsidR="00EA4472" w:rsidRPr="00F7753E" w:rsidRDefault="00EA4472" w:rsidP="00EA4472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EA4472" w:rsidRPr="00426F7E" w:rsidRDefault="00EA4472" w:rsidP="00EA4472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EA4472" w:rsidRPr="00426F7E" w:rsidRDefault="00EA4472" w:rsidP="00EA4472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EA4472" w:rsidRPr="00426F7E" w:rsidRDefault="00EA4472" w:rsidP="00EA4472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EA4472" w:rsidRPr="00426F7E" w:rsidRDefault="00EA4472" w:rsidP="00EA4472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EA4472" w:rsidRDefault="00EA4472" w:rsidP="00EA4472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6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EA4472" w:rsidRPr="00426F7E" w:rsidRDefault="00EA4472" w:rsidP="00EA4472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EA4472" w:rsidRDefault="00EA4472" w:rsidP="00EA4472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EA4472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EA4472" w:rsidRPr="00EA4472" w:rsidRDefault="00EA4472" w:rsidP="00EA4472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EA447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موقف النحاة حتى القرن الثالث</w:t>
      </w:r>
    </w:p>
    <w:p w:rsidR="00EA4472" w:rsidRPr="00EA4472" w:rsidRDefault="00EA4472" w:rsidP="00EA4472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EA4472" w:rsidRPr="00EA4472" w:rsidRDefault="00EA4472" w:rsidP="00EA4472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EA4472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EA447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موقفه، الكشف، سيبويه</w:t>
      </w:r>
    </w:p>
    <w:p w:rsidR="00EA4472" w:rsidRPr="00EA4472" w:rsidRDefault="00EA4472" w:rsidP="00EA4472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EA4472" w:rsidRPr="00EA4472" w:rsidRDefault="00EA4472" w:rsidP="00EA4472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EA447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موقف النحاة حتى القرن الثالث</w:t>
      </w:r>
    </w:p>
    <w:p w:rsidR="00EA4472" w:rsidRPr="00EA4472" w:rsidRDefault="00EA4472" w:rsidP="00EA4472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EA4472" w:rsidRPr="00EA4472" w:rsidRDefault="00EA4472" w:rsidP="00EA4472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EA4472" w:rsidRPr="00EA4472" w:rsidRDefault="00EA4472" w:rsidP="00EA4472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سيبويه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لم يكن سيبويه يرمي في كتابه إلى تبيين موقفه من القراءات، أو الكشف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عن وجوهها، وإنما كان في سبيل عرض الأصول النحوية التي وجدها في لغة العرب من قرآن،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وقراءات، وشعر، وأمثال، ولهجات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وقد استعان بالقراءات النادرة، والحروف المخالفة في بيان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أصوله، مثلما استعان بالقراءات المعروفة، وطوعها كسائر المصادر لمقاييسه؛ فجاءت في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كتابه منثورة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في مواقع مختلفة، فمرة نجده يثبت بها قاعدة، ومرة يؤيد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القاعدة بها، وثالثة يقيس عليها، ورابعة يجعلها أصلًا، يخرج عليه بعض القراءات، وخامسة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يُقوي بها شاهدًا شعري</w:t>
      </w:r>
      <w:r w:rsidRPr="00EA4472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ا، وسادسة يحملها على بعض أقوال العرب، وسابعة يوردها مثالًا في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زحمة الأمثلة، فلا يثير مشكلة، أو نقاشًا. أما إذا اصطدمت القراءة بمقاييسه: فإننا لا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نجده يعدم المخرج، والملاك العام لديه هو القبول، والاحتراز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من هنا، فقد أجاز لقراءة بعضهم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وإن تبدوا ما في أنفسكم أو تخفوه يحاسبكم به الله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فيغفرَ لمن يشاء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بنصب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يغفر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، العطف على جواب الشرط بإضمار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أن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بعدها. وأجاز بقراءة ناس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من الكوفيين</w:t>
      </w:r>
      <w:r w:rsidRPr="00EA4472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A4472">
        <w:rPr>
          <w:rFonts w:ascii="QCF_P310" w:hAnsi="QCF_P310" w:cs="QCF_P310"/>
          <w:b/>
          <w:bCs/>
          <w:sz w:val="18"/>
          <w:szCs w:val="18"/>
          <w:rtl/>
        </w:rPr>
        <w:t>ﭼ ﭽ ﭾ ﭿ ﮀ ﮁ ﮂ ﮃ ﮄ ﮅ</w:t>
      </w:r>
      <w:r w:rsidRPr="00EA4472">
        <w:rPr>
          <w:rFonts w:ascii="QCF_P310" w:hAnsi="QCF_P310" w:cs="DecoType Thuluth"/>
          <w:b/>
          <w:bCs/>
          <w:sz w:val="18"/>
          <w:szCs w:val="18"/>
          <w:rtl/>
        </w:rPr>
        <w:t>}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نصب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أيهم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، فقال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ثم لننزعن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من كل شيعة أيَّهم أشد على الرحمن عتيا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، وذلك على الإضافة، قال: وهي لغة جيدة نصبوها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كما جروها،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وأجاز بحرف أبي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وأذن لا يلبثوا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إعمال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أذن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إذا وقعت بين الواو والفعل. وقد يؤكد بها القاعدة مقدمًا عليها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شاهدًا شعري</w:t>
      </w:r>
      <w:r w:rsidRPr="00EA4472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ا، أو شاهدين؛ حيث ذهب إلى أن الفعل العامل يجوز حذفه إذا دل عليه دليل،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وساق قول جرير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53"/>
        <w:gridCol w:w="517"/>
        <w:gridCol w:w="1745"/>
      </w:tblGrid>
      <w:tr w:rsidR="00EA4472" w:rsidRPr="00EA4472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t>جئني بمثل بني بدر لقومهم</w:t>
            </w: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t>أو مثل أسرة منظور بن سيَّار</w:t>
            </w: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وبيتًا آخر للعجاج، ثم قال: ومثل ذلك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وحورًا عينا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في قراءة أبي بن كعب، يريد قوله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EA447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A4472">
        <w:rPr>
          <w:rFonts w:ascii="QCF_P535" w:hAnsi="QCF_P535" w:cs="QCF_P535"/>
          <w:b/>
          <w:bCs/>
          <w:sz w:val="18"/>
          <w:szCs w:val="18"/>
          <w:rtl/>
        </w:rPr>
        <w:t xml:space="preserve">ﭑ ﭒ ﭓ ﭔ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* </w:t>
      </w:r>
      <w:r w:rsidRPr="00EA4472">
        <w:rPr>
          <w:rFonts w:ascii="QCF_P535" w:hAnsi="QCF_P535" w:cs="QCF_P535"/>
          <w:b/>
          <w:bCs/>
          <w:sz w:val="18"/>
          <w:szCs w:val="18"/>
          <w:rtl/>
        </w:rPr>
        <w:t xml:space="preserve">ﭖ ﭗ ﭘ ﭙ ﭚ </w:t>
      </w:r>
      <w:r w:rsidRPr="00EA4472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* </w:t>
      </w:r>
      <w:r w:rsidRPr="00EA4472">
        <w:rPr>
          <w:rFonts w:ascii="QCF_P535" w:hAnsi="QCF_P535" w:cs="QCF_P535"/>
          <w:b/>
          <w:bCs/>
          <w:sz w:val="18"/>
          <w:szCs w:val="18"/>
          <w:rtl/>
        </w:rPr>
        <w:t>ﭜ ﭝ ﭞ ﭟ ﭠ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* </w:t>
      </w:r>
      <w:r w:rsidRPr="00EA4472">
        <w:rPr>
          <w:rFonts w:ascii="QCF_P535" w:hAnsi="QCF_P535" w:cs="QCF_P535"/>
          <w:b/>
          <w:bCs/>
          <w:sz w:val="18"/>
          <w:szCs w:val="18"/>
          <w:rtl/>
        </w:rPr>
        <w:t>ﭢ ﭣ ﭤ</w:t>
      </w:r>
      <w:r w:rsidRPr="00EA4472">
        <w:rPr>
          <w:rFonts w:ascii="QCF_P535" w:hAnsi="QCF_P535" w:cs="QCF_P535" w:hint="cs"/>
          <w:b/>
          <w:bCs/>
          <w:sz w:val="18"/>
          <w:szCs w:val="18"/>
          <w:rtl/>
        </w:rPr>
        <w:t xml:space="preserve"> </w:t>
      </w:r>
      <w:r w:rsidRPr="00EA4472">
        <w:rPr>
          <w:rFonts w:ascii="QCF_P535" w:hAnsi="QCF_P535" w:cs="QCF_P535"/>
          <w:b/>
          <w:bCs/>
          <w:sz w:val="18"/>
          <w:szCs w:val="18"/>
          <w:rtl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* </w:t>
      </w:r>
      <w:r w:rsidRPr="00EA4472">
        <w:rPr>
          <w:rFonts w:ascii="QCF_P535" w:hAnsi="QCF_P535" w:cs="QCF_P535"/>
          <w:b/>
          <w:bCs/>
          <w:sz w:val="18"/>
          <w:szCs w:val="18"/>
          <w:rtl/>
        </w:rPr>
        <w:t xml:space="preserve">ﭦ ﭧ ﭨ ﭩ </w:t>
      </w:r>
      <w:r w:rsidRPr="00EA4472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* </w:t>
      </w:r>
      <w:r w:rsidRPr="00EA4472">
        <w:rPr>
          <w:rFonts w:ascii="QCF_P535" w:hAnsi="QCF_P535" w:cs="QCF_P535"/>
          <w:b/>
          <w:bCs/>
          <w:sz w:val="18"/>
          <w:szCs w:val="18"/>
          <w:rtl/>
        </w:rPr>
        <w:t>ﭫ ﭬ</w:t>
      </w:r>
      <w:r w:rsidRPr="00EA4472">
        <w:rPr>
          <w:rFonts w:ascii="QCF_P535" w:hAnsi="QCF_P535" w:cs="DecoType Thuluth"/>
          <w:b/>
          <w:bCs/>
          <w:sz w:val="18"/>
          <w:szCs w:val="18"/>
          <w:rtl/>
        </w:rPr>
        <w:t>}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الواقعة: 17</w:t>
      </w:r>
      <w:r w:rsidRPr="00EA4472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EA4472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22]، وأحيانًا يقيس عليه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كقياسه مع الخليل قولهم: لا سيما زيد على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إن الله لا يستحيي أن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يضرب مثلًا ما بعوضةٌ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برفع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بعوضة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، فيقول: لا سيما زيد، وقد يجعلها أصلًا يخرج عليها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القراءة المشهورة، كما فعل في قوله تعالى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EA447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A4472">
        <w:rPr>
          <w:rFonts w:ascii="QCF_P519" w:hAnsi="QCF_P519" w:cs="QCF_P519"/>
          <w:b/>
          <w:bCs/>
          <w:sz w:val="18"/>
          <w:szCs w:val="18"/>
          <w:rtl/>
        </w:rPr>
        <w:t>ﮜ ﮝ ﮞ ﮟ</w:t>
      </w:r>
      <w:r w:rsidRPr="00EA4472">
        <w:rPr>
          <w:rFonts w:ascii="QCF_P519" w:hAnsi="QCF_P519" w:cs="DecoType Thuluth"/>
          <w:b/>
          <w:bCs/>
          <w:sz w:val="18"/>
          <w:szCs w:val="18"/>
          <w:rtl/>
        </w:rPr>
        <w:t>}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ق: 23] قال: فرفعه من وجهين: على شيء لدي عتيد، وعلى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وهذا بعلي شيخ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يريد أن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عتيد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مرفوع على النعت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A4472">
        <w:rPr>
          <w:rFonts w:ascii="QCF_P519" w:hAnsi="QCF_P519" w:cs="QCF_P519"/>
          <w:b/>
          <w:bCs/>
          <w:sz w:val="18"/>
          <w:szCs w:val="18"/>
          <w:rtl/>
        </w:rPr>
        <w:t>ﮜ ﮝ ﮞ ﮟ</w:t>
      </w:r>
      <w:r w:rsidRPr="00EA4472">
        <w:rPr>
          <w:rFonts w:ascii="QCF_P519" w:hAnsi="QCF_P519" w:cs="DecoType Thuluth"/>
          <w:b/>
          <w:bCs/>
          <w:sz w:val="18"/>
          <w:szCs w:val="18"/>
          <w:rtl/>
        </w:rPr>
        <w:t>}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مرفوع على النعت؛ مما أوعل أنه خبر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لمبتدأ محذوف أي: هو عتيد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ويقوي بها شاهدًا شعري</w:t>
      </w:r>
      <w:r w:rsidRPr="00EA4472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 كحمله قول سعد بن مالك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71"/>
        <w:gridCol w:w="521"/>
        <w:gridCol w:w="1723"/>
      </w:tblGrid>
      <w:tr w:rsidR="00EA4472" w:rsidRPr="00EA4472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lastRenderedPageBreak/>
              <w:t>من فر عن نيرانها</w:t>
            </w: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t>فأنا ابن قيس لا براح</w:t>
            </w: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على قراءة بعضهم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ولات حينُ مناص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برفع الحين بأن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لا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محمولة على ليس أسوة بحمل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لات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عليها، قال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جعلها بمنزلة ليس في هذا الموضع في الرفع، أو يحملها على بعض أقوال العرب، من ذلك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حمله قراءة بعضهم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وألقوه في غيابة الجب يلتقطه بعض السيارة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على ما سمع عن العرب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من قولهم: ما جئت حاجتك؛ حيث التزموا التأنيث في هذا؛ لأنه بمنزلة المثل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وقد علل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سيبويه القراءة بأن بعض اكتسبت التأنيث من السيارة؛ لأنها نفس السيارة. وقد ترد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القراءة النادرة عند سيبويه بعيدة عن اهتمامه، لا تثير قاعدة، أو نقاشًا فيوجهها، من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ذلك: توجيهه لقراءة بعضهم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يس * وَالْقُرْآن</w:t>
      </w:r>
      <w:r w:rsidRPr="00EA4472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الْحَكِيم</w:t>
      </w:r>
      <w:r w:rsidRPr="00EA4472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[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يس: 1، 2] بالنصب على حذف الفعل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فسيبويه يعتد بالقراءات الشاذة، ويوسع لها في بناء الأصول النحوية، وفي طرائق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الاستدلال مثل سائر المصادر ما دامت توافق مقياسه، وقد تجلى ذلك أكثر ما تجلى في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اعتماده على كثير من الحروف التي يوقن بأنها مخالفة لرسم مصاحف المسلمين، على أن هذه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الحروف، وتلك القراءات النوادر لم ترق في عددها إلى ما كانت عليه مصادره الأخرى من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آيات، وقراءات مشهورة، وشعر، ولغات، بل كانت قليلة جدًّا.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أما إذا اصطدمت القراءات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النادرة بمقياس سيبويه: فكان يلجأ فيها إلى مخارج متعددة؛ آمل</w:t>
      </w:r>
      <w:r w:rsidRPr="00EA4472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 عدم الطعن عليها ما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استطاع إلى ذلك سبيلًا، فقد يلوذ بأساتذته يسألهم فيها الرأي على نحو سؤاله الخليل عن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وجه قراءة بعضهم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ومن تقنت منكن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، فقد أجابه الخليل بأنها كصلة التي ممن عنيت مؤنثة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وقد يسكت تمامًا عن أي رأي، من ذلك: أنه سئل عن وجه تنوين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تقوًى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من قراءة عيسى بن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عمر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أفمن أسس بنيانه على تقوًى من الله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، فقال: لا أدري، ولا أعرف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وقد يضطر لوصف بعضها بالقلة إذا لم تسعفه الشواهد، أو بالضعف إذا لم يرضها مقياسه،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ومن ذلك: وصفه لقراءة بعضهم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ولات حينُ مناص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بالقلة؛ لأن الكثير الشائع أن يأتي الحين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مع لات منصوبًا، ويكون اسمها مضمرًا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ومن ذلك: وصفه لقراءة بعضهم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تمامًا على الذي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أحسنُ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برفع أحسن بالضعف؛ لأن صدر الصلة هو قد حذف، على أن هذين الوصفين لا يعنيان طعن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سيبويه على القراءتين،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كما رأى بعض الباحثين؛ وذلك لندرة هذين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الجانبين في كلام العرب، أو على الأقل فيما اجتمع لدى سيبويه منه، فسيبويه يقرن هاتين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القراءتين ببعض الأشعار،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فالأولى مثل قول سعد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71"/>
        <w:gridCol w:w="521"/>
        <w:gridCol w:w="1723"/>
      </w:tblGrid>
      <w:tr w:rsidR="00EA4472" w:rsidRPr="00EA4472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t>من فر عن نيرانها</w:t>
            </w: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t>فأنا ابن قيس لا براح</w:t>
            </w: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والثانية مثل قول الأنصاري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46"/>
        <w:gridCol w:w="522"/>
        <w:gridCol w:w="1747"/>
      </w:tblGrid>
      <w:tr w:rsidR="00EA4472" w:rsidRPr="00EA4472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t>فكفى بنا فضلًا على من غيرنا</w:t>
            </w: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EA4472" w:rsidRPr="00EA4472" w:rsidRDefault="00EA4472" w:rsidP="00EA4472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t>حب النبي محمد إيانا</w:t>
            </w:r>
            <w:r w:rsidRPr="00EA4472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وقد رأيناه كيف قوى قول سعد بالقراءة على ما قلته، فكيف يجوز أن نحمل عباراته ما لا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تحتمل؟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وفي الحقيقة،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إذا ما نظرنا إلى سيبويه فنقول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وسيبويه حيي فيما يعرض له من هذه القراءات، يحاول دائمًا التوجه بها حيث يحفظ لها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قدسيتها، ويأبى أن يطعن بنفسه عليها، فقد وجدناه في قراءة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هؤلاء بناتي هن أطهر لكم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يفعل ذلك حين حدد شروط ضمير الفصل، وهي: أن يكون بين المبتدأ والخبر، أو ما أصله مبتدأ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وخبر، وأيضًا أن يكون بين معرفتين. واعترضته هذه القراءة التي اختل فيها الشرط الثالث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فقال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فزعم يونس أن أبا عمرو رآه لحنًا،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فهو يرفضها، ولكنه يأبى أن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يصرح بذلك؛ مما يدل على احترام شديد لهذه الآثار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وقد كان سيبويه يعالج أحيانًا وجوهًا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نحوية تحتملها بعض آيات القرآن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من دون أن تبلغه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قراءات، فكان يقول مثلًا: ولو قرئت كان حسنًا،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فلو كان جيدًا، وهي طريق سلكها جمهور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النحاة بعده، وكان أغلب هذه الوجوه قراءات شاذة، وقد آثرنا ضمها إلى هذه الجهود؛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لتوارثها بين النحاة؛ ولتداولها فيما بينهم على أنها قراءات شاذة في كثير من الأحيان؛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وليقيننا أيضًا بأن من اعتد بالقراءات الشاذة وبهذه الوجوه،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فإنه لا بد معتد بها لو أنها بلغته قراءات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A4472" w:rsidRPr="00EA4472" w:rsidRDefault="00EA4472" w:rsidP="00EA4472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لقد كان سيبويه وفيًا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عمومًا لسنة القراءة، أمينًا على منهج أستاذه الخليل في تصحيح ما يروي من وجوهها، لا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يبخل عن وصف بعضها بالقوة أو الحسن ما دامت توافق الذائع المعروف من كلام العرب،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</w:rPr>
        <w:t>الذي يتوخى فيه ضبط لغة القرآن، وصونها من التحريف</w:t>
      </w:r>
      <w:r w:rsidRPr="00EA4472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A4472" w:rsidRPr="00EA4472" w:rsidRDefault="00EA4472" w:rsidP="00EA4472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</w:p>
    <w:p w:rsidR="00EA4472" w:rsidRPr="00EA4472" w:rsidRDefault="00EA4472" w:rsidP="00EA4472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EA4472" w:rsidRPr="00EA4472" w:rsidRDefault="00EA4472" w:rsidP="00EA4472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EA4472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EA4472" w:rsidRPr="00EA4472" w:rsidRDefault="00EA4472" w:rsidP="00EA4472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EA4472" w:rsidRPr="00EA4472" w:rsidRDefault="00EA4472" w:rsidP="00EA447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EA4472" w:rsidRPr="00EA4472" w:rsidRDefault="00EA4472" w:rsidP="00EA4472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EA4472" w:rsidRPr="00EA4472" w:rsidRDefault="00EA4472" w:rsidP="00EA447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EA4472" w:rsidRPr="00EA4472" w:rsidRDefault="00EA4472" w:rsidP="00EA447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EA4472" w:rsidRPr="00EA4472" w:rsidRDefault="00EA4472" w:rsidP="00EA4472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EA4472" w:rsidRPr="00EA4472" w:rsidRDefault="00EA4472" w:rsidP="00EA447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EA4472" w:rsidRPr="00EA4472" w:rsidRDefault="00EA4472" w:rsidP="00EA447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EA4472" w:rsidRPr="00EA4472" w:rsidRDefault="00EA4472" w:rsidP="00EA447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EA4472" w:rsidRPr="00EA4472" w:rsidRDefault="00EA4472" w:rsidP="00EA4472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EA4472" w:rsidRPr="00EA4472" w:rsidRDefault="00EA4472" w:rsidP="00EA4472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EA4472" w:rsidRPr="00EA4472" w:rsidRDefault="00EA4472" w:rsidP="00EA4472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EA4472" w:rsidRPr="00EA4472" w:rsidRDefault="00EA4472" w:rsidP="00EA4472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EA4472" w:rsidRPr="00EA4472" w:rsidRDefault="00EA4472" w:rsidP="00EA4472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EA4472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EA4472" w:rsidRPr="00EA4472" w:rsidRDefault="00EA4472" w:rsidP="00EA4472">
      <w:pPr>
        <w:rPr>
          <w:rFonts w:hint="cs"/>
          <w:b/>
          <w:bCs/>
          <w:sz w:val="18"/>
          <w:szCs w:val="18"/>
        </w:rPr>
      </w:pPr>
    </w:p>
    <w:p w:rsidR="00EA4472" w:rsidRPr="00EA4472" w:rsidRDefault="00EA4472" w:rsidP="00EA4472">
      <w:pPr>
        <w:rPr>
          <w:b/>
          <w:bCs/>
          <w:sz w:val="18"/>
          <w:szCs w:val="18"/>
        </w:rPr>
      </w:pPr>
    </w:p>
    <w:p w:rsidR="00EA4472" w:rsidRPr="00EA4472" w:rsidRDefault="00EA4472" w:rsidP="00EA4472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EA4472" w:rsidRPr="00EA4472" w:rsidRDefault="00EA4472" w:rsidP="00EA4472">
      <w:pPr>
        <w:rPr>
          <w:b/>
          <w:bCs/>
          <w:sz w:val="18"/>
          <w:szCs w:val="18"/>
        </w:rPr>
      </w:pPr>
    </w:p>
    <w:p w:rsidR="00EA4472" w:rsidRPr="00EA4472" w:rsidRDefault="00EA4472" w:rsidP="00EA4472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4219C3" w:rsidRPr="00EA4472" w:rsidRDefault="004219C3" w:rsidP="00EA4472">
      <w:pPr>
        <w:rPr>
          <w:b/>
          <w:bCs/>
          <w:sz w:val="18"/>
          <w:szCs w:val="18"/>
        </w:rPr>
      </w:pPr>
    </w:p>
    <w:sectPr w:rsidR="004219C3" w:rsidRPr="00EA4472" w:rsidSect="00EA4472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3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5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4472"/>
    <w:rsid w:val="001A2769"/>
    <w:rsid w:val="004168A0"/>
    <w:rsid w:val="004219C3"/>
    <w:rsid w:val="004A286F"/>
    <w:rsid w:val="00EA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4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447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A4472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EA4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medmsamir5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C85B5D-05CE-4A4B-B61E-2C9ECA2D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5942</Characters>
  <Application>Microsoft Office Word</Application>
  <DocSecurity>0</DocSecurity>
  <Lines>49</Lines>
  <Paragraphs>13</Paragraphs>
  <ScaleCrop>false</ScaleCrop>
  <Company>Fannan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2013-06-16T14:38:00Z</dcterms:created>
  <dcterms:modified xsi:type="dcterms:W3CDTF">2013-06-16T14:46:00Z</dcterms:modified>
</cp:coreProperties>
</file>