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C06" w:rsidRDefault="00A02C06" w:rsidP="00A02C06">
      <w:pPr>
        <w:spacing w:before="60"/>
        <w:jc w:val="center"/>
        <w:rPr>
          <w:rFonts w:asciiTheme="majorBidi" w:eastAsia="Calibri" w:hAnsiTheme="majorBidi" w:cstheme="majorBidi" w:hint="cs"/>
          <w:b/>
          <w:bCs/>
          <w:sz w:val="48"/>
          <w:szCs w:val="48"/>
          <w:rtl/>
        </w:rPr>
      </w:pPr>
      <w:r w:rsidRPr="00A02C06">
        <w:rPr>
          <w:rFonts w:asciiTheme="majorBidi" w:eastAsia="Calibri" w:hAnsiTheme="majorBidi" w:cstheme="majorBidi" w:hint="cs"/>
          <w:b/>
          <w:bCs/>
          <w:sz w:val="48"/>
          <w:szCs w:val="48"/>
          <w:rtl/>
        </w:rPr>
        <w:t>استكمال الحديث عن الفراء</w:t>
      </w:r>
    </w:p>
    <w:p w:rsidR="00A02C06" w:rsidRDefault="00A02C06" w:rsidP="00A02C06">
      <w:pPr>
        <w:jc w:val="lowKashida"/>
        <w:rPr>
          <w:rFonts w:asciiTheme="majorBidi" w:hAnsiTheme="majorBidi" w:cstheme="majorBidi" w:hint="cs"/>
          <w:b/>
          <w:bCs/>
          <w:sz w:val="18"/>
          <w:szCs w:val="18"/>
          <w:rtl/>
        </w:rPr>
      </w:pPr>
    </w:p>
    <w:p w:rsidR="00A02C06" w:rsidRPr="00F7753E" w:rsidRDefault="00A02C06" w:rsidP="00A02C06">
      <w:pPr>
        <w:jc w:val="lowKashida"/>
        <w:rPr>
          <w:rFonts w:asciiTheme="majorBidi" w:hAnsiTheme="majorBidi" w:cstheme="majorBidi" w:hint="cs"/>
          <w:b/>
          <w:bCs/>
          <w:sz w:val="18"/>
          <w:szCs w:val="18"/>
          <w:rtl/>
        </w:rPr>
      </w:pPr>
    </w:p>
    <w:p w:rsidR="00A02C06" w:rsidRPr="00F7753E" w:rsidRDefault="00A02C06" w:rsidP="00A02C06">
      <w:pPr>
        <w:jc w:val="lowKashida"/>
        <w:rPr>
          <w:rFonts w:asciiTheme="majorBidi" w:hAnsiTheme="majorBidi" w:cstheme="majorBidi" w:hint="cs"/>
          <w:b/>
          <w:bCs/>
          <w:sz w:val="18"/>
          <w:szCs w:val="18"/>
          <w:rtl/>
        </w:rPr>
      </w:pPr>
    </w:p>
    <w:p w:rsidR="00A02C06" w:rsidRPr="00F7753E" w:rsidRDefault="00A02C06" w:rsidP="00A02C06">
      <w:pPr>
        <w:jc w:val="center"/>
        <w:rPr>
          <w:rFonts w:asciiTheme="majorBidi" w:eastAsia="Calibri" w:hAnsiTheme="majorBidi" w:cstheme="majorBidi"/>
          <w:sz w:val="18"/>
          <w:szCs w:val="18"/>
          <w:rtl/>
        </w:rPr>
      </w:pPr>
      <w:r w:rsidRPr="00F7753E">
        <w:rPr>
          <w:rFonts w:asciiTheme="majorBidi" w:hAnsiTheme="majorBidi" w:cstheme="majorBidi"/>
          <w:sz w:val="18"/>
          <w:szCs w:val="18"/>
          <w:rtl/>
        </w:rPr>
        <w:t xml:space="preserve">مبحث فى </w:t>
      </w:r>
      <w:r w:rsidRPr="00F7753E">
        <w:rPr>
          <w:rFonts w:asciiTheme="majorBidi" w:hAnsiTheme="majorBidi" w:cstheme="majorBidi" w:hint="cs"/>
          <w:sz w:val="18"/>
          <w:szCs w:val="18"/>
          <w:rtl/>
        </w:rPr>
        <w:t xml:space="preserve">علم </w:t>
      </w:r>
      <w:r w:rsidRPr="00F7753E">
        <w:rPr>
          <w:rFonts w:asciiTheme="majorBidi" w:eastAsia="Calibri" w:hAnsiTheme="majorBidi" w:cstheme="majorBidi" w:hint="cs"/>
          <w:sz w:val="18"/>
          <w:szCs w:val="18"/>
          <w:rtl/>
        </w:rPr>
        <w:t>القراءات الشاذه</w:t>
      </w:r>
    </w:p>
    <w:p w:rsidR="00A02C06" w:rsidRPr="00426F7E" w:rsidRDefault="00A02C06" w:rsidP="00A02C06">
      <w:pPr>
        <w:jc w:val="center"/>
        <w:rPr>
          <w:rFonts w:asciiTheme="majorBidi" w:hAnsiTheme="majorBidi" w:cstheme="majorBidi"/>
          <w:sz w:val="18"/>
          <w:szCs w:val="18"/>
        </w:rPr>
      </w:pPr>
      <w:r w:rsidRPr="00426F7E">
        <w:rPr>
          <w:rFonts w:asciiTheme="majorBidi" w:hAnsiTheme="majorBidi" w:cstheme="majorBidi"/>
          <w:sz w:val="18"/>
          <w:szCs w:val="18"/>
          <w:rtl/>
        </w:rPr>
        <w:t>إعداد / أحمد محمد سمير</w:t>
      </w:r>
    </w:p>
    <w:p w:rsidR="00A02C06" w:rsidRPr="00426F7E" w:rsidRDefault="00A02C06" w:rsidP="00A02C06">
      <w:pPr>
        <w:jc w:val="center"/>
        <w:rPr>
          <w:rFonts w:asciiTheme="majorBidi" w:hAnsiTheme="majorBidi" w:cstheme="majorBidi"/>
          <w:sz w:val="18"/>
          <w:szCs w:val="18"/>
        </w:rPr>
      </w:pPr>
      <w:r w:rsidRPr="00426F7E">
        <w:rPr>
          <w:rFonts w:asciiTheme="majorBidi" w:hAnsiTheme="majorBidi" w:cstheme="majorBidi"/>
          <w:sz w:val="18"/>
          <w:szCs w:val="18"/>
          <w:rtl/>
        </w:rPr>
        <w:t>قسم الدعوة وأصول الدين</w:t>
      </w:r>
    </w:p>
    <w:p w:rsidR="00A02C06" w:rsidRPr="00426F7E" w:rsidRDefault="00A02C06" w:rsidP="00A02C06">
      <w:pPr>
        <w:jc w:val="center"/>
        <w:rPr>
          <w:rFonts w:asciiTheme="majorBidi" w:hAnsiTheme="majorBidi" w:cstheme="majorBidi"/>
          <w:sz w:val="18"/>
          <w:szCs w:val="18"/>
        </w:rPr>
      </w:pPr>
      <w:r w:rsidRPr="00426F7E">
        <w:rPr>
          <w:rFonts w:asciiTheme="majorBidi" w:hAnsiTheme="majorBidi" w:cstheme="majorBidi"/>
          <w:sz w:val="18"/>
          <w:szCs w:val="18"/>
          <w:rtl/>
        </w:rPr>
        <w:t>كلية العلوم الإسلامية – جامعة المدينة العالمية</w:t>
      </w:r>
    </w:p>
    <w:p w:rsidR="00A02C06" w:rsidRPr="00426F7E" w:rsidRDefault="00A02C06" w:rsidP="00A02C06">
      <w:pPr>
        <w:jc w:val="center"/>
        <w:rPr>
          <w:rFonts w:asciiTheme="majorBidi" w:hAnsiTheme="majorBidi" w:cstheme="majorBidi"/>
          <w:sz w:val="18"/>
          <w:szCs w:val="18"/>
          <w:rtl/>
        </w:rPr>
      </w:pPr>
      <w:r w:rsidRPr="00426F7E">
        <w:rPr>
          <w:rFonts w:asciiTheme="majorBidi" w:hAnsiTheme="majorBidi" w:cstheme="majorBidi"/>
          <w:sz w:val="18"/>
          <w:szCs w:val="18"/>
          <w:rtl/>
        </w:rPr>
        <w:t>شاه علم - ماليزيا</w:t>
      </w:r>
    </w:p>
    <w:p w:rsidR="00A02C06" w:rsidRDefault="00A02C06" w:rsidP="00A02C06">
      <w:pPr>
        <w:tabs>
          <w:tab w:val="left" w:pos="4050"/>
        </w:tabs>
        <w:jc w:val="center"/>
        <w:rPr>
          <w:rFonts w:asciiTheme="majorBidi" w:hAnsiTheme="majorBidi" w:cstheme="majorBidi"/>
          <w:b/>
          <w:bCs/>
          <w:sz w:val="18"/>
          <w:szCs w:val="18"/>
          <w:rtl/>
        </w:rPr>
      </w:pPr>
      <w:hyperlink r:id="rId5" w:history="1">
        <w:r w:rsidRPr="00DE0243">
          <w:rPr>
            <w:rStyle w:val="Hyperlink"/>
            <w:rFonts w:asciiTheme="majorBidi" w:hAnsiTheme="majorBidi" w:cstheme="majorBidi"/>
            <w:b/>
            <w:bCs/>
            <w:sz w:val="18"/>
            <w:szCs w:val="18"/>
          </w:rPr>
          <w:t>Ahmedmsamir54@gmail.com</w:t>
        </w:r>
      </w:hyperlink>
    </w:p>
    <w:p w:rsidR="00A02C06" w:rsidRPr="00426F7E" w:rsidRDefault="00A02C06" w:rsidP="00A02C06">
      <w:pPr>
        <w:tabs>
          <w:tab w:val="left" w:pos="4050"/>
        </w:tabs>
        <w:jc w:val="center"/>
        <w:rPr>
          <w:rFonts w:asciiTheme="majorBidi" w:hAnsiTheme="majorBidi" w:cstheme="majorBidi"/>
          <w:b/>
          <w:bCs/>
          <w:sz w:val="18"/>
          <w:szCs w:val="18"/>
        </w:rPr>
      </w:pPr>
    </w:p>
    <w:p w:rsidR="00A02C06" w:rsidRDefault="00A02C06" w:rsidP="00A02C06">
      <w:pPr>
        <w:jc w:val="center"/>
        <w:rPr>
          <w:rFonts w:asciiTheme="majorBidi" w:hAnsiTheme="majorBidi" w:cstheme="majorBidi"/>
          <w:b/>
          <w:bCs/>
          <w:sz w:val="18"/>
          <w:szCs w:val="18"/>
          <w:rtl/>
        </w:rPr>
        <w:sectPr w:rsidR="00A02C06" w:rsidSect="004168A0"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:rsidR="00A02C06" w:rsidRPr="00A02C06" w:rsidRDefault="00A02C06" w:rsidP="00A02C06">
      <w:pPr>
        <w:jc w:val="center"/>
        <w:rPr>
          <w:rFonts w:asciiTheme="majorBidi" w:eastAsia="Calibri" w:hAnsiTheme="majorBidi" w:cstheme="majorBidi" w:hint="cs"/>
          <w:b/>
          <w:bCs/>
          <w:sz w:val="18"/>
          <w:szCs w:val="18"/>
          <w:rtl/>
        </w:rPr>
      </w:pPr>
      <w:r w:rsidRPr="00A02C06">
        <w:rPr>
          <w:rFonts w:asciiTheme="majorBidi" w:hAnsiTheme="majorBidi" w:cstheme="majorBidi"/>
          <w:b/>
          <w:bCs/>
          <w:sz w:val="18"/>
          <w:szCs w:val="18"/>
          <w:rtl/>
        </w:rPr>
        <w:lastRenderedPageBreak/>
        <w:t xml:space="preserve">الخلاصة – هذا البحث يبحث فى </w:t>
      </w:r>
      <w:r w:rsidRPr="00A02C06">
        <w:rPr>
          <w:rFonts w:asciiTheme="majorBidi" w:eastAsia="Calibri" w:hAnsiTheme="majorBidi" w:cstheme="majorBidi" w:hint="cs"/>
          <w:b/>
          <w:bCs/>
          <w:sz w:val="18"/>
          <w:szCs w:val="18"/>
          <w:rtl/>
        </w:rPr>
        <w:t>استكمال الحديث عن الفراء</w:t>
      </w:r>
    </w:p>
    <w:p w:rsidR="00A02C06" w:rsidRPr="00A02C06" w:rsidRDefault="00A02C06" w:rsidP="00A02C06">
      <w:pPr>
        <w:rPr>
          <w:rFonts w:asciiTheme="majorBidi" w:eastAsia="Calibri" w:hAnsiTheme="majorBidi" w:cstheme="majorBidi"/>
          <w:b/>
          <w:bCs/>
          <w:sz w:val="18"/>
          <w:szCs w:val="18"/>
          <w:rtl/>
        </w:rPr>
      </w:pPr>
    </w:p>
    <w:p w:rsidR="00A02C06" w:rsidRPr="00A02C06" w:rsidRDefault="00A02C06" w:rsidP="00A02C06">
      <w:pPr>
        <w:rPr>
          <w:rFonts w:asciiTheme="majorBidi" w:eastAsia="Calibri" w:hAnsiTheme="majorBidi" w:cstheme="majorBidi"/>
          <w:b/>
          <w:bCs/>
          <w:sz w:val="18"/>
          <w:szCs w:val="18"/>
          <w:rtl/>
        </w:rPr>
      </w:pPr>
      <w:r w:rsidRPr="00A02C06">
        <w:rPr>
          <w:rFonts w:asciiTheme="majorBidi" w:eastAsia="Calibri" w:hAnsiTheme="majorBidi" w:cstheme="majorBidi"/>
          <w:b/>
          <w:bCs/>
          <w:sz w:val="18"/>
          <w:szCs w:val="18"/>
          <w:rtl/>
        </w:rPr>
        <w:t xml:space="preserve">الكلمات المفتاحية – </w:t>
      </w:r>
      <w:r w:rsidRPr="00A02C06">
        <w:rPr>
          <w:rFonts w:asciiTheme="majorBidi" w:eastAsia="Calibri" w:hAnsiTheme="majorBidi" w:cstheme="majorBidi" w:hint="cs"/>
          <w:b/>
          <w:bCs/>
          <w:sz w:val="18"/>
          <w:szCs w:val="18"/>
          <w:rtl/>
        </w:rPr>
        <w:t>الفراء، النحاه، الكريم</w:t>
      </w:r>
    </w:p>
    <w:p w:rsidR="00A02C06" w:rsidRPr="00A02C06" w:rsidRDefault="00A02C06" w:rsidP="00A02C06">
      <w:pPr>
        <w:numPr>
          <w:ilvl w:val="0"/>
          <w:numId w:val="2"/>
        </w:numPr>
        <w:spacing w:after="200"/>
        <w:ind w:left="643" w:hanging="90"/>
        <w:jc w:val="center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A02C06">
        <w:rPr>
          <w:rFonts w:asciiTheme="majorBidi" w:hAnsiTheme="majorBidi" w:cstheme="majorBidi"/>
          <w:b/>
          <w:bCs/>
          <w:sz w:val="18"/>
          <w:szCs w:val="18"/>
          <w:rtl/>
        </w:rPr>
        <w:t>.المقدمة</w:t>
      </w:r>
    </w:p>
    <w:p w:rsidR="00A02C06" w:rsidRPr="00A02C06" w:rsidRDefault="00A02C06" w:rsidP="00A02C06">
      <w:pPr>
        <w:jc w:val="center"/>
        <w:rPr>
          <w:rFonts w:asciiTheme="majorBidi" w:eastAsia="Calibri" w:hAnsiTheme="majorBidi" w:cstheme="majorBidi" w:hint="cs"/>
          <w:b/>
          <w:bCs/>
          <w:sz w:val="18"/>
          <w:szCs w:val="18"/>
          <w:rtl/>
        </w:rPr>
      </w:pPr>
      <w:r w:rsidRPr="00A02C06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الحمد لله رب العالمين، والصلاة والسلام على أشرف المرسلين سيدنا محمد، وعلى آله وصحبه والتابعين ، سوف نقوم في هذا البحث بمعرفة </w:t>
      </w:r>
      <w:r w:rsidRPr="00A02C06">
        <w:rPr>
          <w:rFonts w:asciiTheme="majorBidi" w:eastAsia="Calibri" w:hAnsiTheme="majorBidi" w:cstheme="majorBidi" w:hint="cs"/>
          <w:b/>
          <w:bCs/>
          <w:sz w:val="18"/>
          <w:szCs w:val="18"/>
          <w:rtl/>
        </w:rPr>
        <w:t>استكمال الحديث عن الفراء</w:t>
      </w:r>
    </w:p>
    <w:p w:rsidR="00A02C06" w:rsidRPr="00A02C06" w:rsidRDefault="00A02C06" w:rsidP="00A02C06">
      <w:pPr>
        <w:rPr>
          <w:rFonts w:asciiTheme="majorBidi" w:hAnsiTheme="majorBidi" w:cstheme="majorBidi"/>
          <w:b/>
          <w:bCs/>
          <w:sz w:val="18"/>
          <w:szCs w:val="18"/>
          <w:rtl/>
        </w:rPr>
      </w:pPr>
    </w:p>
    <w:p w:rsidR="00A02C06" w:rsidRPr="00A02C06" w:rsidRDefault="00A02C06" w:rsidP="00A02C06">
      <w:pPr>
        <w:numPr>
          <w:ilvl w:val="0"/>
          <w:numId w:val="3"/>
        </w:numPr>
        <w:spacing w:after="200"/>
        <w:ind w:left="733" w:hanging="90"/>
        <w:jc w:val="center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A02C06">
        <w:rPr>
          <w:rFonts w:asciiTheme="majorBidi" w:hAnsiTheme="majorBidi" w:cstheme="majorBidi"/>
          <w:b/>
          <w:bCs/>
          <w:sz w:val="18"/>
          <w:szCs w:val="18"/>
          <w:rtl/>
        </w:rPr>
        <w:t>.عنوان المقال</w:t>
      </w:r>
    </w:p>
    <w:p w:rsidR="00A02C06" w:rsidRPr="00A02C06" w:rsidRDefault="00A02C06" w:rsidP="00A02C06">
      <w:pPr>
        <w:jc w:val="center"/>
        <w:rPr>
          <w:rFonts w:asciiTheme="majorBidi" w:eastAsia="Calibri" w:hAnsiTheme="majorBidi" w:cstheme="majorBidi" w:hint="cs"/>
          <w:b/>
          <w:bCs/>
          <w:sz w:val="18"/>
          <w:szCs w:val="18"/>
          <w:rtl/>
        </w:rPr>
      </w:pPr>
    </w:p>
    <w:p w:rsidR="00A02C06" w:rsidRPr="00A02C06" w:rsidRDefault="00A02C06" w:rsidP="00A02C06">
      <w:pPr>
        <w:pStyle w:val="NormalWeb"/>
        <w:bidi/>
        <w:spacing w:before="0" w:beforeAutospacing="0" w:after="120" w:afterAutospacing="0"/>
        <w:jc w:val="lowKashida"/>
        <w:rPr>
          <w:rFonts w:ascii="Simplified Arabic" w:hAnsi="Simplified Arabic" w:cs="AL-Hotham"/>
          <w:b/>
          <w:bCs/>
          <w:sz w:val="18"/>
          <w:szCs w:val="18"/>
          <w:lang w:bidi="ar-EG"/>
        </w:rPr>
      </w:pPr>
      <w:r w:rsidRPr="00A02C06">
        <w:rPr>
          <w:rFonts w:ascii="Simplified Arabic" w:hAnsi="Simplified Arabic" w:cs="AL-Hotham"/>
          <w:b/>
          <w:bCs/>
          <w:sz w:val="18"/>
          <w:szCs w:val="18"/>
          <w:rtl/>
        </w:rPr>
        <w:t>يعد الفراء من أكثر النحاة شغفًا بلغة القرآن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</w:rPr>
        <w:t>الكريم، وقراءاته، ومن أوسعهم علمًا بفنونه، تظاهره في ذلك علوم العصر، وعقل خصب، وذاكرة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</w:rPr>
        <w:t>قوية، فقد صرح الفراء غير مرة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</w:rPr>
        <w:t>أنه يؤثر لغة القرآن الكريم على الشعر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. </w:t>
      </w:r>
    </w:p>
    <w:p w:rsidR="00A02C06" w:rsidRPr="00A02C06" w:rsidRDefault="00A02C06" w:rsidP="00A02C06">
      <w:pPr>
        <w:pStyle w:val="NormalWeb"/>
        <w:bidi/>
        <w:spacing w:before="0" w:beforeAutospacing="0" w:after="120" w:afterAutospacing="0"/>
        <w:jc w:val="lowKashida"/>
        <w:rPr>
          <w:rFonts w:ascii="Simplified Arabic" w:hAnsi="Simplified Arabic" w:cs="AL-Hotham"/>
          <w:b/>
          <w:bCs/>
          <w:sz w:val="18"/>
          <w:szCs w:val="18"/>
          <w:lang w:bidi="ar-EG"/>
        </w:rPr>
      </w:pPr>
      <w:r w:rsidRPr="00A02C06">
        <w:rPr>
          <w:rFonts w:ascii="Simplified Arabic" w:hAnsi="Simplified Arabic" w:cs="AL-Hotham"/>
          <w:b/>
          <w:bCs/>
          <w:sz w:val="18"/>
          <w:szCs w:val="18"/>
          <w:rtl/>
        </w:rPr>
        <w:t>ومن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</w:rPr>
        <w:t>أقواله الدالة على ذلك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: "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</w:rPr>
        <w:t>الكتاب أعرب وأقوى في الحجة من الشعر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" 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</w:rPr>
        <w:t>والفراء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</w:rPr>
        <w:t>من الملتزمين برسم القرآن،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</w:rPr>
        <w:t>ولكن بعض عباراته كان يوحي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</w:rPr>
        <w:t>أحيانًا بخلاف ذلك، منها: قوله في أحد الحروف: وهو جائز في العربية، وإن كان مخالفًا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</w:rPr>
        <w:t>للكتابة. فهذا لا يعني أنه كان مترخصًا في الرسم كما ذهب بعضهم، وإنما يعني أنه كان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</w:rPr>
        <w:t>نحويًّا أيضًا في إقباله على كتابه (معاني القرآن)، والدليل على ذلك: أنه كثيرًا ما يبرح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</w:rPr>
        <w:t>علاج الآية المقررة، أو القراءة المروية إلى بيان ما تحتمله من وجوه نحوية. فالفراء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</w:rPr>
        <w:t>يحترم الرسم، ولكنه نحوي يسترشد في بناء أصوله بالموافق والمخالف من لغة القرآن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</w:rPr>
        <w:t>الكريم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.</w:t>
      </w:r>
    </w:p>
    <w:p w:rsidR="00A02C06" w:rsidRPr="00A02C06" w:rsidRDefault="00A02C06" w:rsidP="00A02C06">
      <w:pPr>
        <w:pStyle w:val="NormalWeb"/>
        <w:bidi/>
        <w:spacing w:before="0" w:beforeAutospacing="0" w:after="120" w:afterAutospacing="0"/>
        <w:jc w:val="lowKashida"/>
        <w:rPr>
          <w:rFonts w:ascii="Simplified Arabic" w:hAnsi="Simplified Arabic" w:cs="AL-Hotham"/>
          <w:b/>
          <w:bCs/>
          <w:sz w:val="18"/>
          <w:szCs w:val="18"/>
          <w:lang w:bidi="ar-EG"/>
        </w:rPr>
      </w:pPr>
      <w:r w:rsidRPr="00A02C06">
        <w:rPr>
          <w:rFonts w:ascii="Simplified Arabic" w:hAnsi="Simplified Arabic" w:cs="AL-Hotham"/>
          <w:b/>
          <w:bCs/>
          <w:sz w:val="18"/>
          <w:szCs w:val="18"/>
          <w:rtl/>
        </w:rPr>
        <w:t>والمادة القرآنية عند الفراء وحدة منسجمة يقوي بعضها بعضًا، وتقود متآزرة ومقرونة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</w:rPr>
        <w:t>بالشعر، أو بلغات العرب إلى بناء القاعدة وتوضيحها، وهي تتألف من آيات القرآن الكريم،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</w:rPr>
        <w:t>والقراءات المشهورة، والقراءات غير المشهورة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. </w:t>
      </w:r>
    </w:p>
    <w:p w:rsidR="00A02C06" w:rsidRPr="00A02C06" w:rsidRDefault="00A02C06" w:rsidP="00A02C06">
      <w:pPr>
        <w:pStyle w:val="NormalWeb"/>
        <w:bidi/>
        <w:spacing w:before="0" w:beforeAutospacing="0" w:after="120" w:afterAutospacing="0"/>
        <w:jc w:val="lowKashida"/>
        <w:rPr>
          <w:rFonts w:ascii="Simplified Arabic" w:hAnsi="Simplified Arabic" w:cs="AL-Hotham"/>
          <w:b/>
          <w:bCs/>
          <w:sz w:val="18"/>
          <w:szCs w:val="18"/>
          <w:lang w:bidi="ar-EG"/>
        </w:rPr>
      </w:pPr>
      <w:r w:rsidRPr="00A02C06">
        <w:rPr>
          <w:rFonts w:ascii="Simplified Arabic" w:hAnsi="Simplified Arabic" w:cs="AL-Hotham"/>
          <w:b/>
          <w:bCs/>
          <w:sz w:val="18"/>
          <w:szCs w:val="18"/>
          <w:rtl/>
        </w:rPr>
        <w:t>أما القراءات المشهورة: فيرتضيها الفراء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</w:rPr>
        <w:t>ما خلا بعضها التي أعمل فيها مقياسه فأباها، ولكن هذا لا يعكر موقفه العام الذي يتسم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</w:rPr>
        <w:t>بالتسليم والإجلال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. 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</w:rPr>
        <w:t>وأما القراءات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</w:rPr>
        <w:t>غير المشهورة: فتتوزعها لديه ثلاثة أنواع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: 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</w:rPr>
        <w:t>الحروف المخالفة، القراءات الأحادية وغير المشهورة، والوجوه النحوية التي أجازها في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</w:rPr>
        <w:t>الآيات، وكان معظمها قراءات شاذة وفق المصطلحات المتأخرة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.</w:t>
      </w:r>
    </w:p>
    <w:p w:rsidR="00A02C06" w:rsidRPr="00A02C06" w:rsidRDefault="00A02C06" w:rsidP="00A02C06">
      <w:pPr>
        <w:pStyle w:val="NormalWeb"/>
        <w:bidi/>
        <w:spacing w:before="0" w:beforeAutospacing="0" w:after="120" w:afterAutospacing="0"/>
        <w:jc w:val="lowKashida"/>
        <w:rPr>
          <w:rFonts w:ascii="Simplified Arabic" w:hAnsi="Simplified Arabic" w:cs="AL-Hotham"/>
          <w:b/>
          <w:bCs/>
          <w:sz w:val="18"/>
          <w:szCs w:val="18"/>
          <w:lang w:bidi="ar-EG"/>
        </w:rPr>
      </w:pPr>
      <w:r w:rsidRPr="00A02C06">
        <w:rPr>
          <w:rFonts w:ascii="Simplified Arabic" w:hAnsi="Simplified Arabic" w:cs="AL-Hotham"/>
          <w:b/>
          <w:bCs/>
          <w:sz w:val="18"/>
          <w:szCs w:val="18"/>
          <w:rtl/>
        </w:rPr>
        <w:t>فأولًا: مع الحروف المخالفة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: 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</w:rPr>
        <w:t xml:space="preserve">كان الفراء </w:t>
      </w:r>
      <w:r w:rsidRPr="00A02C06">
        <w:rPr>
          <w:rFonts w:ascii="Simplified Arabic" w:hAnsi="Simplified Arabic" w:cs="Traditional Arabic"/>
          <w:b/>
          <w:bCs/>
          <w:sz w:val="18"/>
          <w:szCs w:val="18"/>
          <w:rtl/>
        </w:rPr>
        <w:t>-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</w:rPr>
        <w:t>رحمه الله تعالى</w:t>
      </w:r>
      <w:r w:rsidRPr="00A02C06">
        <w:rPr>
          <w:rFonts w:ascii="Simplified Arabic" w:hAnsi="Simplified Arabic" w:cs="Traditional Arabic"/>
          <w:b/>
          <w:bCs/>
          <w:sz w:val="18"/>
          <w:szCs w:val="18"/>
          <w:rtl/>
        </w:rPr>
        <w:t>-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</w:rPr>
        <w:t xml:space="preserve"> واحدًا من الذين عنوا بالأحرف المخالفة</w:t>
      </w:r>
      <w:r w:rsidRPr="00A02C06">
        <w:rPr>
          <w:rFonts w:ascii="Simplified Arabic" w:hAnsi="Simplified Arabic" w:cs="AL-Hotham" w:hint="cs"/>
          <w:b/>
          <w:bCs/>
          <w:sz w:val="18"/>
          <w:szCs w:val="18"/>
          <w:rtl/>
        </w:rPr>
        <w:t xml:space="preserve"> 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</w:rPr>
        <w:t>عناية بالغة في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</w:rPr>
        <w:t>المجال اللغوي حتى خيل إلى بعضهم أنه متمسك بقرآنيته؛ وذلك لما توحيه هذه الحروف من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</w:rPr>
        <w:t>سلطان قوي في وجدانه العلمي،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</w:rPr>
        <w:t>فهو لم يبال كثيرًا بالإشارة إلى تشذيذها أو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</w:rPr>
        <w:t>مخالفتها،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</w:rPr>
        <w:t>مع أن الناس في عهده على تشذيذ هذه القراءة، بل تبناها، وأكثر من إيرادها حتى لم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</w:rPr>
        <w:t>تكد تخل</w:t>
      </w:r>
      <w:r w:rsidRPr="00A02C06">
        <w:rPr>
          <w:rFonts w:ascii="Simplified Arabic" w:hAnsi="Simplified Arabic" w:cs="AL-Hotham" w:hint="cs"/>
          <w:b/>
          <w:bCs/>
          <w:sz w:val="18"/>
          <w:szCs w:val="18"/>
          <w:rtl/>
        </w:rPr>
        <w:t>و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</w:rPr>
        <w:t xml:space="preserve"> آية من الاقتران بها، سرة له، أو منصورة بها، وقد تعددت عباراته في الإشارة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</w:rPr>
        <w:t>إليها، فمرة ينعتها بالحرف كما في حرف ابن مسعود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</w:rPr>
        <w:t>كالقول: وفي حرف عبد الله وفي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</w:rPr>
        <w:t>حرف أبي، ومرة يقرنها بأحد المصاحف كقوله: وفي مصحف عبد الله، ومرة يكني عنها بإحدى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</w:rPr>
        <w:t xml:space="preserve">القراءتين مريدًا بذلك إحدى قراءتي ابن مسعود وأبي؛ 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</w:rPr>
        <w:lastRenderedPageBreak/>
        <w:t>لأنه لم يتحقق من ذلك لعلمه أن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</w:rPr>
        <w:t>أكثر هذه الحروف إنما جاء عنهما، ولكن الغالب عليه هو وصفها بالقراءة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.</w:t>
      </w:r>
    </w:p>
    <w:p w:rsidR="00A02C06" w:rsidRPr="00A02C06" w:rsidRDefault="00A02C06" w:rsidP="00A02C06">
      <w:pPr>
        <w:pStyle w:val="NormalWeb"/>
        <w:bidi/>
        <w:spacing w:before="0" w:beforeAutospacing="0" w:after="120" w:afterAutospacing="0"/>
        <w:jc w:val="lowKashida"/>
        <w:rPr>
          <w:rFonts w:ascii="Simplified Arabic" w:hAnsi="Simplified Arabic" w:cs="AL-Hotham"/>
          <w:b/>
          <w:bCs/>
          <w:sz w:val="18"/>
          <w:szCs w:val="18"/>
          <w:lang w:bidi="ar-EG"/>
        </w:rPr>
      </w:pPr>
      <w:r w:rsidRPr="00A02C06">
        <w:rPr>
          <w:rFonts w:ascii="Simplified Arabic" w:hAnsi="Simplified Arabic" w:cs="AL-Hotham"/>
          <w:b/>
          <w:bCs/>
          <w:sz w:val="18"/>
          <w:szCs w:val="18"/>
          <w:rtl/>
        </w:rPr>
        <w:t>لقد وقف الفراء من هذه الحروف موقف الإجلال والاحترام في منهجه النحوي، وانتصر لها،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</w:rPr>
        <w:t>واستأنس بها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</w:rPr>
        <w:t>على نحو فاق فيه كل النحاة قبله وبعده، فقد أكثر من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</w:rPr>
        <w:t>إيرادها في أثناء حديثه عن الآية القرآنية مستأنسًا مكتفيًا بالقول: وهي في قراءة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</w:rPr>
        <w:t>أبي، وهي في قراءة عبد الله من دون تعليل، وكان أحيانًا يوجهها توجيهًا نحويًّا بسيط</w:t>
      </w:r>
      <w:r w:rsidRPr="00A02C06">
        <w:rPr>
          <w:rFonts w:ascii="Simplified Arabic" w:hAnsi="Simplified Arabic" w:cs="AL-Hotham" w:hint="cs"/>
          <w:b/>
          <w:bCs/>
          <w:sz w:val="18"/>
          <w:szCs w:val="18"/>
          <w:rtl/>
        </w:rPr>
        <w:t>ً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</w:rPr>
        <w:t>ا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</w:rPr>
        <w:t>على نحو قوله في قراءة أبي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: "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</w:rPr>
        <w:t>حتى تأتيهم البينةُ</w:t>
      </w:r>
      <w:r w:rsidRPr="00A02C06">
        <w:rPr>
          <w:rFonts w:ascii="Simplified Arabic" w:hAnsi="Simplified Arabic" w:cs="AL-Hotham" w:hint="cs"/>
          <w:b/>
          <w:bCs/>
          <w:sz w:val="18"/>
          <w:szCs w:val="18"/>
          <w:rtl/>
        </w:rPr>
        <w:t xml:space="preserve"> *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</w:rPr>
        <w:t xml:space="preserve"> رسول</w:t>
      </w:r>
      <w:r w:rsidRPr="00A02C06">
        <w:rPr>
          <w:rFonts w:ascii="Simplified Arabic" w:hAnsi="Simplified Arabic" w:cs="AL-Hotham" w:hint="cs"/>
          <w:b/>
          <w:bCs/>
          <w:sz w:val="18"/>
          <w:szCs w:val="18"/>
          <w:rtl/>
        </w:rPr>
        <w:t>ً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</w:rPr>
        <w:t>ا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"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</w:rPr>
        <w:t xml:space="preserve"> </w:t>
      </w:r>
      <w:r w:rsidRPr="00A02C06">
        <w:rPr>
          <w:rFonts w:ascii="Simplified Arabic" w:hAnsi="Simplified Arabic" w:cs="AL-Hotham" w:hint="cs"/>
          <w:b/>
          <w:bCs/>
          <w:sz w:val="18"/>
          <w:szCs w:val="18"/>
          <w:rtl/>
        </w:rPr>
        <w:t>[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</w:rPr>
        <w:t>البينة</w:t>
      </w:r>
      <w:r w:rsidRPr="00A02C06">
        <w:rPr>
          <w:rFonts w:ascii="Simplified Arabic" w:hAnsi="Simplified Arabic" w:cs="AL-Hotham" w:hint="cs"/>
          <w:b/>
          <w:bCs/>
          <w:sz w:val="18"/>
          <w:szCs w:val="18"/>
          <w:rtl/>
        </w:rPr>
        <w:t>: 1، 2]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</w:rPr>
        <w:t>بالنصب على الانقطاع من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"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</w:rPr>
        <w:t>البينة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" 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</w:rPr>
        <w:t>يريد الحال منها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.</w:t>
      </w:r>
    </w:p>
    <w:p w:rsidR="00A02C06" w:rsidRPr="00A02C06" w:rsidRDefault="00A02C06" w:rsidP="00A02C06">
      <w:pPr>
        <w:pStyle w:val="NormalWeb"/>
        <w:bidi/>
        <w:spacing w:before="0" w:beforeAutospacing="0" w:after="120" w:afterAutospacing="0"/>
        <w:jc w:val="both"/>
        <w:rPr>
          <w:rFonts w:ascii="Simplified Arabic" w:hAnsi="Simplified Arabic" w:cs="AL-Hotham"/>
          <w:b/>
          <w:bCs/>
          <w:sz w:val="18"/>
          <w:szCs w:val="18"/>
          <w:lang w:bidi="ar-EG"/>
        </w:rPr>
      </w:pPr>
      <w:r w:rsidRPr="00A02C06">
        <w:rPr>
          <w:rFonts w:ascii="Simplified Arabic" w:hAnsi="Simplified Arabic" w:cs="AL-Hotham"/>
          <w:b/>
          <w:bCs/>
          <w:sz w:val="18"/>
          <w:szCs w:val="18"/>
          <w:rtl/>
        </w:rPr>
        <w:t xml:space="preserve">وكان أبو زكريا </w:t>
      </w:r>
      <w:r w:rsidRPr="00A02C06">
        <w:rPr>
          <w:rFonts w:ascii="Simplified Arabic" w:hAnsi="Simplified Arabic" w:cs="Traditional Arabic"/>
          <w:b/>
          <w:bCs/>
          <w:sz w:val="18"/>
          <w:szCs w:val="18"/>
          <w:rtl/>
        </w:rPr>
        <w:t>-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</w:rPr>
        <w:t>كغيره من النحاة</w:t>
      </w:r>
      <w:r w:rsidRPr="00A02C06">
        <w:rPr>
          <w:rFonts w:ascii="Simplified Arabic" w:hAnsi="Simplified Arabic" w:cs="Traditional Arabic"/>
          <w:b/>
          <w:bCs/>
          <w:sz w:val="18"/>
          <w:szCs w:val="18"/>
          <w:rtl/>
        </w:rPr>
        <w:t>-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</w:rPr>
        <w:t xml:space="preserve"> يبين وجوه هذه الحروف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</w:rPr>
        <w:t>بألوان اللغة، كالقرآن، والقراءات المشهورة، أو الشعر، وأقوال العرب، وقد برع في ذلك؛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</w:rPr>
        <w:t>لكثرة محفوظه، وسرعة بديهته في التوصل إلى الوجه المماثل، من ذلك: استشهاده لقراءة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</w:rPr>
        <w:t>عبد الله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"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</w:rPr>
        <w:t>قد بدا البغضاء من أفواههم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" 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</w:rPr>
        <w:t>لقوله تعالى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: </w:t>
      </w:r>
      <w:r w:rsidRPr="00A02C06">
        <w:rPr>
          <w:rFonts w:ascii="Simplified Arabic" w:hAnsi="Simplified Arabic" w:cs="DecoType Thuluth"/>
          <w:b/>
          <w:bCs/>
          <w:sz w:val="18"/>
          <w:szCs w:val="18"/>
          <w:rtl/>
          <w:lang w:bidi="ar-EG"/>
        </w:rPr>
        <w:t>{</w:t>
      </w:r>
      <w:r w:rsidRPr="00A02C06">
        <w:rPr>
          <w:rFonts w:ascii="QCF_P229" w:hAnsi="QCF_P229" w:cs="QCF_P229"/>
          <w:b/>
          <w:bCs/>
          <w:sz w:val="18"/>
          <w:szCs w:val="18"/>
          <w:rtl/>
        </w:rPr>
        <w:t>ﮜ ﮝ ﮞ ﮟ</w:t>
      </w:r>
      <w:r w:rsidRPr="00A02C06">
        <w:rPr>
          <w:rFonts w:ascii="QCF_P229" w:hAnsi="QCF_P229" w:cs="DecoType Thuluth"/>
          <w:b/>
          <w:bCs/>
          <w:sz w:val="18"/>
          <w:szCs w:val="18"/>
          <w:rtl/>
        </w:rPr>
        <w:t>}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[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</w:rPr>
        <w:t>هود: 67]؛ لأن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"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</w:rPr>
        <w:t>البغضاء، والصيحة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" 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</w:rPr>
        <w:t>مصدران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</w:rPr>
        <w:t xml:space="preserve">مؤنثان، </w:t>
      </w:r>
      <w:r w:rsidRPr="00A02C06">
        <w:rPr>
          <w:rFonts w:ascii="Simplified Arabic" w:hAnsi="Simplified Arabic" w:cs="AL-Hotham"/>
          <w:b/>
          <w:bCs/>
          <w:spacing w:val="4"/>
          <w:sz w:val="18"/>
          <w:szCs w:val="18"/>
          <w:rtl/>
        </w:rPr>
        <w:t>والمصدر المؤنث يجوز تذكير فعله إذا تقدم، واستشهاده لحرف أبي</w:t>
      </w:r>
      <w:r w:rsidRPr="00A02C06">
        <w:rPr>
          <w:rFonts w:ascii="Simplified Arabic" w:hAnsi="Simplified Arabic" w:cs="AL-Hotham" w:hint="cs"/>
          <w:b/>
          <w:bCs/>
          <w:spacing w:val="4"/>
          <w:sz w:val="18"/>
          <w:szCs w:val="18"/>
          <w:rtl/>
        </w:rPr>
        <w:t>:</w:t>
      </w:r>
      <w:r w:rsidRPr="00A02C06">
        <w:rPr>
          <w:rFonts w:ascii="Simplified Arabic" w:hAnsi="Simplified Arabic" w:cs="AL-Hotham"/>
          <w:b/>
          <w:bCs/>
          <w:spacing w:val="4"/>
          <w:sz w:val="18"/>
          <w:szCs w:val="18"/>
          <w:rtl/>
          <w:lang w:bidi="ar-EG"/>
        </w:rPr>
        <w:t xml:space="preserve"> </w:t>
      </w:r>
      <w:r w:rsidRPr="00A02C06">
        <w:rPr>
          <w:rFonts w:ascii="Simplified Arabic" w:hAnsi="Simplified Arabic" w:cs="DecoType Thuluth" w:hint="cs"/>
          <w:b/>
          <w:bCs/>
          <w:spacing w:val="4"/>
          <w:sz w:val="18"/>
          <w:szCs w:val="18"/>
          <w:rtl/>
        </w:rPr>
        <w:t>"</w:t>
      </w:r>
      <w:r w:rsidRPr="00A02C06">
        <w:rPr>
          <w:rFonts w:ascii="Simplified Arabic" w:hAnsi="Simplified Arabic" w:cs="AL-Hotham"/>
          <w:b/>
          <w:bCs/>
          <w:spacing w:val="4"/>
          <w:sz w:val="18"/>
          <w:szCs w:val="18"/>
          <w:rtl/>
        </w:rPr>
        <w:t>إِنَّ اللَّهَ اشْتَرَى مِنَ الْمُؤْمِنِينَ أَنْفُسَهُمْ وَأَمْوَالَهُمْ بِأَنَّ لَهُمُ الْجَنَّةَ يُقَاتِلُونَ فِي سَبِيلِ اللَّهِ فَيَقْتُلُونَ وَيُقْتَلُونَ وَعْدًا عَلَيْهِ ح</w:t>
      </w:r>
      <w:r w:rsidRPr="00A02C06">
        <w:rPr>
          <w:rFonts w:ascii="Simplified Arabic" w:hAnsi="Simplified Arabic" w:cs="AL-Hotham" w:hint="cs"/>
          <w:b/>
          <w:bCs/>
          <w:spacing w:val="4"/>
          <w:sz w:val="18"/>
          <w:szCs w:val="18"/>
          <w:rtl/>
        </w:rPr>
        <w:t>َ</w:t>
      </w:r>
      <w:r w:rsidRPr="00A02C06">
        <w:rPr>
          <w:rFonts w:ascii="Simplified Arabic" w:hAnsi="Simplified Arabic" w:cs="AL-Hotham"/>
          <w:b/>
          <w:bCs/>
          <w:spacing w:val="4"/>
          <w:sz w:val="18"/>
          <w:szCs w:val="18"/>
          <w:rtl/>
        </w:rPr>
        <w:t xml:space="preserve">قًّا فِي التَّوْرَاةِ وَالْإِنْجِيلِ وَالْقُرْآَنِ وَمَنْ أَوْفَى بِعَهْدِهِ مِنَ اللَّهِ فَاسْتَبْشِرُوا بِبَيْعِكُمُ الَّذِي بَايَعْتُمْ بِهِ وَذَلِكَ هُوَ الْفَوْزُ الْعَظِيمُ </w:t>
      </w:r>
      <w:r w:rsidRPr="00A02C06">
        <w:rPr>
          <w:rFonts w:ascii="Simplified Arabic" w:hAnsi="Simplified Arabic" w:cs="AL-Hotham" w:hint="cs"/>
          <w:b/>
          <w:bCs/>
          <w:spacing w:val="4"/>
          <w:sz w:val="18"/>
          <w:szCs w:val="18"/>
          <w:rtl/>
        </w:rPr>
        <w:t>*</w:t>
      </w:r>
      <w:r w:rsidRPr="00A02C06">
        <w:rPr>
          <w:rFonts w:ascii="Simplified Arabic" w:hAnsi="Simplified Arabic" w:cs="AL-Hotham"/>
          <w:b/>
          <w:bCs/>
          <w:spacing w:val="4"/>
          <w:sz w:val="18"/>
          <w:szCs w:val="18"/>
          <w:rtl/>
        </w:rPr>
        <w:t xml:space="preserve"> "التائبين العابدين"</w:t>
      </w:r>
      <w:r w:rsidRPr="00A02C06">
        <w:rPr>
          <w:rFonts w:ascii="Simplified Arabic" w:hAnsi="Simplified Arabic" w:cs="AL-Hotham" w:hint="cs"/>
          <w:b/>
          <w:bCs/>
          <w:spacing w:val="4"/>
          <w:sz w:val="18"/>
          <w:szCs w:val="18"/>
          <w:rtl/>
        </w:rPr>
        <w:t xml:space="preserve"> [التوبة: </w:t>
      </w:r>
      <w:r w:rsidRPr="00A02C06">
        <w:rPr>
          <w:rFonts w:ascii="Simplified Arabic" w:hAnsi="Simplified Arabic" w:cs="AL-Hotham"/>
          <w:b/>
          <w:bCs/>
          <w:spacing w:val="4"/>
          <w:sz w:val="18"/>
          <w:szCs w:val="18"/>
          <w:rtl/>
        </w:rPr>
        <w:t>111</w:t>
      </w:r>
      <w:r w:rsidRPr="00A02C06">
        <w:rPr>
          <w:rFonts w:ascii="Simplified Arabic" w:hAnsi="Simplified Arabic" w:cs="AL-Hotham" w:hint="cs"/>
          <w:b/>
          <w:bCs/>
          <w:spacing w:val="4"/>
          <w:sz w:val="18"/>
          <w:szCs w:val="18"/>
          <w:rtl/>
        </w:rPr>
        <w:t>، 112]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</w:rPr>
        <w:t xml:space="preserve"> على أن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"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</w:rPr>
        <w:t>التائبين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" 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</w:rPr>
        <w:t>نعت للمؤمنين لقراءة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</w:rPr>
        <w:t>مشهورة وهي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: </w:t>
      </w:r>
      <w:r w:rsidRPr="00A02C06">
        <w:rPr>
          <w:rFonts w:ascii="Simplified Arabic" w:hAnsi="Simplified Arabic" w:cs="DecoType Thuluth"/>
          <w:b/>
          <w:bCs/>
          <w:sz w:val="18"/>
          <w:szCs w:val="18"/>
          <w:rtl/>
          <w:lang w:bidi="ar-EG"/>
        </w:rPr>
        <w:t>{</w:t>
      </w:r>
      <w:r w:rsidRPr="00A02C06">
        <w:rPr>
          <w:rFonts w:ascii="QCF_P450" w:hAnsi="QCF_P450" w:cs="QCF_P450"/>
          <w:b/>
          <w:bCs/>
          <w:sz w:val="18"/>
          <w:szCs w:val="18"/>
          <w:rtl/>
        </w:rPr>
        <w:t xml:space="preserve">ﯪ ﯫ ﯬ ﯭ ﯮ </w:t>
      </w:r>
      <w:r w:rsidRPr="00A02C06">
        <w:rPr>
          <w:rFonts w:ascii="Simplified Arabic" w:hAnsi="Simplified Arabic" w:cs="AL-Hotham" w:hint="cs"/>
          <w:b/>
          <w:bCs/>
          <w:sz w:val="18"/>
          <w:szCs w:val="18"/>
          <w:rtl/>
        </w:rPr>
        <w:t>*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</w:rPr>
        <w:t xml:space="preserve"> </w:t>
      </w:r>
      <w:r w:rsidRPr="00A02C06">
        <w:rPr>
          <w:rFonts w:ascii="QCF_P450" w:hAnsi="QCF_P450" w:cs="QCF_P450"/>
          <w:b/>
          <w:bCs/>
          <w:sz w:val="18"/>
          <w:szCs w:val="18"/>
          <w:rtl/>
        </w:rPr>
        <w:t>ﯰ ﯱ</w:t>
      </w:r>
      <w:r w:rsidRPr="00A02C06">
        <w:rPr>
          <w:rFonts w:ascii="QCF_P450" w:hAnsi="QCF_P450" w:cs="DecoType Thuluth"/>
          <w:b/>
          <w:bCs/>
          <w:sz w:val="18"/>
          <w:szCs w:val="18"/>
          <w:rtl/>
        </w:rPr>
        <w:t>}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A02C06">
        <w:rPr>
          <w:rFonts w:ascii="Simplified Arabic" w:hAnsi="Simplified Arabic" w:cs="AL-Hotham" w:hint="cs"/>
          <w:b/>
          <w:bCs/>
          <w:sz w:val="18"/>
          <w:szCs w:val="18"/>
          <w:rtl/>
          <w:lang w:bidi="ar-EG"/>
        </w:rPr>
        <w:t xml:space="preserve">[الصافات: 125، 126] 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</w:rPr>
        <w:t>بنصب الله،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</w:rPr>
        <w:t>واستشهاده لوجه النصب على المدح من حرف أبي نفسه بقول الشاعرة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:</w:t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741"/>
        <w:gridCol w:w="509"/>
        <w:gridCol w:w="1765"/>
      </w:tblGrid>
      <w:tr w:rsidR="00A02C06" w:rsidRPr="00A02C06" w:rsidTr="00064B76">
        <w:trPr>
          <w:trHeight w:hRule="exact" w:val="510"/>
          <w:jc w:val="center"/>
        </w:trPr>
        <w:tc>
          <w:tcPr>
            <w:tcW w:w="2909" w:type="dxa"/>
            <w:shd w:val="clear" w:color="auto" w:fill="auto"/>
            <w:vAlign w:val="center"/>
          </w:tcPr>
          <w:p w:rsidR="00A02C06" w:rsidRPr="00A02C06" w:rsidRDefault="00A02C06" w:rsidP="00A02C06">
            <w:pPr>
              <w:spacing w:after="120"/>
              <w:jc w:val="both"/>
              <w:rPr>
                <w:rFonts w:cs="AGA Furat Regular"/>
                <w:b/>
                <w:bCs/>
                <w:sz w:val="18"/>
                <w:szCs w:val="18"/>
                <w:rtl/>
              </w:rPr>
            </w:pPr>
            <w:r w:rsidRPr="00A02C06">
              <w:rPr>
                <w:rFonts w:cs="AGA Furat Regular"/>
                <w:b/>
                <w:bCs/>
                <w:sz w:val="18"/>
                <w:szCs w:val="18"/>
                <w:rtl/>
              </w:rPr>
              <w:t>لا يبعدن قومي الذين هم</w:t>
            </w:r>
            <w:r w:rsidRPr="00A02C06">
              <w:rPr>
                <w:rFonts w:cs="AGA Furat Regular"/>
                <w:b/>
                <w:bCs/>
                <w:sz w:val="18"/>
                <w:szCs w:val="18"/>
                <w:rtl/>
              </w:rPr>
              <w:br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2C06" w:rsidRPr="00A02C06" w:rsidRDefault="00A02C06" w:rsidP="00A02C06">
            <w:pPr>
              <w:spacing w:after="120"/>
              <w:jc w:val="center"/>
              <w:rPr>
                <w:rFonts w:cs="AL-Hotham" w:hint="cs"/>
                <w:b/>
                <w:bCs/>
                <w:sz w:val="18"/>
                <w:szCs w:val="18"/>
                <w:rtl/>
              </w:rPr>
            </w:pPr>
            <w:r w:rsidRPr="00A02C06">
              <w:rPr>
                <w:rFonts w:cs="AL-Hotham" w:hint="cs"/>
                <w:b/>
                <w:bCs/>
                <w:sz w:val="18"/>
                <w:szCs w:val="18"/>
                <w:rtl/>
              </w:rPr>
              <w:t>*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A02C06" w:rsidRPr="00A02C06" w:rsidRDefault="00A02C06" w:rsidP="00A02C06">
            <w:pPr>
              <w:spacing w:after="120"/>
              <w:jc w:val="both"/>
              <w:rPr>
                <w:rFonts w:cs="AGA Furat Regular" w:hint="cs"/>
                <w:b/>
                <w:bCs/>
                <w:sz w:val="18"/>
                <w:szCs w:val="18"/>
                <w:rtl/>
              </w:rPr>
            </w:pPr>
            <w:r w:rsidRPr="00A02C06">
              <w:rPr>
                <w:rFonts w:cs="AGA Furat Regular"/>
                <w:b/>
                <w:bCs/>
                <w:sz w:val="18"/>
                <w:szCs w:val="18"/>
                <w:rtl/>
              </w:rPr>
              <w:t>سم العداة وآفة الج</w:t>
            </w:r>
            <w:r w:rsidRPr="00A02C06">
              <w:rPr>
                <w:rFonts w:cs="AGA Furat Regular" w:hint="cs"/>
                <w:b/>
                <w:bCs/>
                <w:sz w:val="18"/>
                <w:szCs w:val="18"/>
                <w:rtl/>
              </w:rPr>
              <w:t>ز</w:t>
            </w:r>
            <w:r w:rsidRPr="00A02C06">
              <w:rPr>
                <w:rFonts w:cs="AGA Furat Regular"/>
                <w:b/>
                <w:bCs/>
                <w:sz w:val="18"/>
                <w:szCs w:val="18"/>
                <w:rtl/>
              </w:rPr>
              <w:t>ر</w:t>
            </w:r>
            <w:r w:rsidRPr="00A02C06">
              <w:rPr>
                <w:rFonts w:cs="AGA Furat Regular"/>
                <w:b/>
                <w:bCs/>
                <w:sz w:val="18"/>
                <w:szCs w:val="18"/>
                <w:rtl/>
              </w:rPr>
              <w:br/>
            </w:r>
          </w:p>
        </w:tc>
      </w:tr>
      <w:tr w:rsidR="00A02C06" w:rsidRPr="00A02C06" w:rsidTr="00064B76">
        <w:trPr>
          <w:trHeight w:hRule="exact" w:val="510"/>
          <w:jc w:val="center"/>
        </w:trPr>
        <w:tc>
          <w:tcPr>
            <w:tcW w:w="2909" w:type="dxa"/>
            <w:shd w:val="clear" w:color="auto" w:fill="auto"/>
            <w:vAlign w:val="center"/>
          </w:tcPr>
          <w:p w:rsidR="00A02C06" w:rsidRPr="00A02C06" w:rsidRDefault="00A02C06" w:rsidP="00A02C06">
            <w:pPr>
              <w:spacing w:after="120"/>
              <w:jc w:val="both"/>
              <w:rPr>
                <w:rFonts w:cs="AGA Furat Regular"/>
                <w:b/>
                <w:bCs/>
                <w:sz w:val="18"/>
                <w:szCs w:val="18"/>
                <w:rtl/>
              </w:rPr>
            </w:pPr>
            <w:r w:rsidRPr="00A02C06">
              <w:rPr>
                <w:rFonts w:cs="AGA Furat Regular"/>
                <w:b/>
                <w:bCs/>
                <w:sz w:val="18"/>
                <w:szCs w:val="18"/>
                <w:rtl/>
              </w:rPr>
              <w:t>النازلين بكل معترك</w:t>
            </w:r>
            <w:r w:rsidRPr="00A02C06">
              <w:rPr>
                <w:rFonts w:cs="AGA Furat Regular"/>
                <w:b/>
                <w:bCs/>
                <w:sz w:val="18"/>
                <w:szCs w:val="18"/>
                <w:rtl/>
              </w:rPr>
              <w:br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2C06" w:rsidRPr="00A02C06" w:rsidRDefault="00A02C06" w:rsidP="00A02C06">
            <w:pPr>
              <w:spacing w:after="120"/>
              <w:jc w:val="center"/>
              <w:rPr>
                <w:rFonts w:cs="AL-Hotham" w:hint="cs"/>
                <w:b/>
                <w:bCs/>
                <w:sz w:val="18"/>
                <w:szCs w:val="18"/>
                <w:rtl/>
              </w:rPr>
            </w:pPr>
            <w:r w:rsidRPr="00A02C06">
              <w:rPr>
                <w:rFonts w:cs="AL-Hotham" w:hint="cs"/>
                <w:b/>
                <w:bCs/>
                <w:sz w:val="18"/>
                <w:szCs w:val="18"/>
                <w:rtl/>
              </w:rPr>
              <w:t>*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A02C06" w:rsidRPr="00A02C06" w:rsidRDefault="00A02C06" w:rsidP="00A02C06">
            <w:pPr>
              <w:spacing w:after="120"/>
              <w:jc w:val="both"/>
              <w:rPr>
                <w:rFonts w:cs="AGA Furat Regular" w:hint="cs"/>
                <w:b/>
                <w:bCs/>
                <w:sz w:val="18"/>
                <w:szCs w:val="18"/>
                <w:rtl/>
              </w:rPr>
            </w:pPr>
            <w:r w:rsidRPr="00A02C06">
              <w:rPr>
                <w:rFonts w:cs="AGA Furat Regular"/>
                <w:b/>
                <w:bCs/>
                <w:sz w:val="18"/>
                <w:szCs w:val="18"/>
                <w:rtl/>
              </w:rPr>
              <w:t>والطيبين مقاعد الأزرُ</w:t>
            </w:r>
            <w:r w:rsidRPr="00A02C06">
              <w:rPr>
                <w:rFonts w:cs="AGA Furat Regular"/>
                <w:b/>
                <w:bCs/>
                <w:sz w:val="18"/>
                <w:szCs w:val="18"/>
                <w:rtl/>
              </w:rPr>
              <w:br/>
            </w:r>
          </w:p>
        </w:tc>
      </w:tr>
    </w:tbl>
    <w:p w:rsidR="00A02C06" w:rsidRPr="00A02C06" w:rsidRDefault="00A02C06" w:rsidP="00A02C06">
      <w:pPr>
        <w:spacing w:after="120"/>
        <w:jc w:val="lowKashida"/>
        <w:rPr>
          <w:rFonts w:cs="AL-Hotham"/>
          <w:b/>
          <w:bCs/>
          <w:vanish/>
          <w:sz w:val="18"/>
          <w:szCs w:val="18"/>
        </w:rPr>
      </w:pPr>
    </w:p>
    <w:p w:rsidR="00A02C06" w:rsidRPr="00A02C06" w:rsidRDefault="00A02C06" w:rsidP="00A02C06">
      <w:pPr>
        <w:pStyle w:val="NormalWeb"/>
        <w:bidi/>
        <w:spacing w:before="0" w:beforeAutospacing="0" w:after="120" w:afterAutospacing="0"/>
        <w:jc w:val="lowKashida"/>
        <w:rPr>
          <w:rFonts w:ascii="Simplified Arabic" w:hAnsi="Simplified Arabic" w:cs="AL-Hotham"/>
          <w:b/>
          <w:bCs/>
          <w:sz w:val="18"/>
          <w:szCs w:val="18"/>
          <w:rtl/>
        </w:rPr>
      </w:pPr>
      <w:r w:rsidRPr="00A02C06">
        <w:rPr>
          <w:rFonts w:ascii="Simplified Arabic" w:hAnsi="Simplified Arabic" w:cs="AL-Hotham"/>
          <w:b/>
          <w:bCs/>
          <w:sz w:val="18"/>
          <w:szCs w:val="18"/>
          <w:rtl/>
        </w:rPr>
        <w:t>والفراء كثير الاستدلال بأقوال العرب الذين أكثر من مشافهتهم، ومن ذلك: تخريجه لقراءة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</w:rPr>
        <w:t>عبد الله</w:t>
      </w:r>
      <w:r w:rsidRPr="00A02C06">
        <w:rPr>
          <w:rFonts w:ascii="Simplified Arabic" w:hAnsi="Simplified Arabic" w:cs="AL-Hotham" w:hint="cs"/>
          <w:b/>
          <w:bCs/>
          <w:sz w:val="18"/>
          <w:szCs w:val="18"/>
          <w:rtl/>
          <w:lang w:bidi="ar-EG"/>
        </w:rPr>
        <w:t>: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"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</w:rPr>
        <w:t>واللاتي يأتين بالفاحشة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" 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</w:rPr>
        <w:t>قال: والعرب تقول: أتيت أمرًا عظيمًا، وبأمر عظيم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. </w:t>
      </w:r>
    </w:p>
    <w:p w:rsidR="00A02C06" w:rsidRPr="00A02C06" w:rsidRDefault="00A02C06" w:rsidP="00A02C06">
      <w:pPr>
        <w:pStyle w:val="NormalWeb"/>
        <w:bidi/>
        <w:spacing w:before="0" w:beforeAutospacing="0" w:after="120" w:afterAutospacing="0"/>
        <w:jc w:val="lowKashida"/>
        <w:rPr>
          <w:rFonts w:ascii="Simplified Arabic" w:hAnsi="Simplified Arabic" w:cs="AL-Hotham"/>
          <w:b/>
          <w:bCs/>
          <w:sz w:val="18"/>
          <w:szCs w:val="18"/>
        </w:rPr>
      </w:pPr>
      <w:r w:rsidRPr="00A02C06">
        <w:rPr>
          <w:rFonts w:ascii="Simplified Arabic" w:hAnsi="Simplified Arabic" w:cs="AL-Hotham"/>
          <w:b/>
          <w:bCs/>
          <w:sz w:val="18"/>
          <w:szCs w:val="18"/>
          <w:rtl/>
        </w:rPr>
        <w:t>وهو قد يلجأ إلى القياس لتخريج بعضها من ذلك: تخريجه لقراءة عبد الله</w:t>
      </w:r>
      <w:r w:rsidRPr="00A02C06">
        <w:rPr>
          <w:rFonts w:ascii="Simplified Arabic" w:hAnsi="Simplified Arabic" w:cs="AL-Hotham" w:hint="cs"/>
          <w:b/>
          <w:bCs/>
          <w:sz w:val="18"/>
          <w:szCs w:val="18"/>
          <w:rtl/>
        </w:rPr>
        <w:t>: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</w:rPr>
        <w:t xml:space="preserve"> "كَيْفَ يَكُونُ لِلْمُشْرِكِينَ عَهْدٌ عِنْدَ اللَّهِ وَعِنْدَ رَسُولِهِ إِلَّا الَّذِينَ عَاهَدْتُمْ عِنْدَ الْمَسْجِدِ الْحَرَامِ فَمَا اسْتَقَامُوا لَكُمْ فَاسْتَقِيمُوا لَهُمْ إِنَّ اللَّهَ يُحِبُّ الْمُتَّقِينَ</w:t>
      </w:r>
      <w:r w:rsidRPr="00A02C06">
        <w:rPr>
          <w:rFonts w:ascii="Simplified Arabic" w:hAnsi="Simplified Arabic" w:cs="AL-Hotham" w:hint="cs"/>
          <w:b/>
          <w:bCs/>
          <w:sz w:val="18"/>
          <w:szCs w:val="18"/>
          <w:rtl/>
        </w:rPr>
        <w:t xml:space="preserve"> *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</w:rPr>
        <w:t xml:space="preserve"> كَيْفَ وَإِنْ يَظْهَرُوا عَلَيْكُمْ لَا يَرْقُبُوا فِيكُمْ إِلًّا</w:t>
      </w:r>
      <w:r w:rsidRPr="00A02C06">
        <w:rPr>
          <w:rFonts w:ascii="Simplified Arabic" w:hAnsi="Simplified Arabic" w:cs="AL-Hotham" w:hint="cs"/>
          <w:b/>
          <w:bCs/>
          <w:sz w:val="18"/>
          <w:szCs w:val="18"/>
          <w:rtl/>
        </w:rPr>
        <w:t xml:space="preserve"> 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</w:rPr>
        <w:t>ولا ذمة"</w:t>
      </w:r>
      <w:r w:rsidRPr="00A02C06">
        <w:rPr>
          <w:rFonts w:ascii="Simplified Arabic" w:hAnsi="Simplified Arabic" w:cs="AL-Hotham" w:hint="cs"/>
          <w:b/>
          <w:bCs/>
          <w:sz w:val="18"/>
          <w:szCs w:val="18"/>
          <w:rtl/>
        </w:rPr>
        <w:t xml:space="preserve"> [التوبة: 7، 8]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</w:rPr>
        <w:t xml:space="preserve"> بقياسها على قول الشاعر:</w:t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784"/>
        <w:gridCol w:w="517"/>
        <w:gridCol w:w="1714"/>
      </w:tblGrid>
      <w:tr w:rsidR="00A02C06" w:rsidRPr="00A02C06" w:rsidTr="00064B76">
        <w:trPr>
          <w:trHeight w:hRule="exact" w:val="510"/>
          <w:jc w:val="center"/>
        </w:trPr>
        <w:tc>
          <w:tcPr>
            <w:tcW w:w="2909" w:type="dxa"/>
            <w:shd w:val="clear" w:color="auto" w:fill="auto"/>
            <w:vAlign w:val="center"/>
          </w:tcPr>
          <w:p w:rsidR="00A02C06" w:rsidRPr="00A02C06" w:rsidRDefault="00A02C06" w:rsidP="00A02C06">
            <w:pPr>
              <w:spacing w:after="120"/>
              <w:jc w:val="both"/>
              <w:rPr>
                <w:rFonts w:cs="AGA Furat Regular"/>
                <w:b/>
                <w:bCs/>
                <w:sz w:val="18"/>
                <w:szCs w:val="18"/>
                <w:rtl/>
              </w:rPr>
            </w:pPr>
            <w:r w:rsidRPr="00A02C06">
              <w:rPr>
                <w:rFonts w:cs="AGA Furat Regular"/>
                <w:b/>
                <w:bCs/>
                <w:sz w:val="18"/>
                <w:szCs w:val="18"/>
                <w:rtl/>
              </w:rPr>
              <w:t xml:space="preserve">يقول إذا </w:t>
            </w:r>
            <w:r w:rsidRPr="00A02C06">
              <w:rPr>
                <w:rFonts w:cs="AGA Furat Regular" w:hint="cs"/>
                <w:b/>
                <w:bCs/>
                <w:sz w:val="18"/>
                <w:szCs w:val="18"/>
                <w:rtl/>
              </w:rPr>
              <w:t>ا</w:t>
            </w:r>
            <w:r w:rsidRPr="00A02C06">
              <w:rPr>
                <w:rFonts w:cs="AGA Furat Regular"/>
                <w:b/>
                <w:bCs/>
                <w:sz w:val="18"/>
                <w:szCs w:val="18"/>
                <w:rtl/>
              </w:rPr>
              <w:t>قل</w:t>
            </w:r>
            <w:r w:rsidRPr="00A02C06">
              <w:rPr>
                <w:rFonts w:cs="AGA Furat Regular" w:hint="cs"/>
                <w:b/>
                <w:bCs/>
                <w:sz w:val="18"/>
                <w:szCs w:val="18"/>
                <w:rtl/>
              </w:rPr>
              <w:t>و</w:t>
            </w:r>
            <w:r w:rsidRPr="00A02C06">
              <w:rPr>
                <w:rFonts w:cs="AGA Furat Regular"/>
                <w:b/>
                <w:bCs/>
                <w:sz w:val="18"/>
                <w:szCs w:val="18"/>
                <w:rtl/>
              </w:rPr>
              <w:t>ل</w:t>
            </w:r>
            <w:r w:rsidRPr="00A02C06">
              <w:rPr>
                <w:rFonts w:cs="AGA Furat Regular" w:hint="cs"/>
                <w:b/>
                <w:bCs/>
                <w:sz w:val="18"/>
                <w:szCs w:val="18"/>
                <w:rtl/>
              </w:rPr>
              <w:t xml:space="preserve">ى </w:t>
            </w:r>
            <w:r w:rsidRPr="00A02C06">
              <w:rPr>
                <w:rFonts w:cs="AGA Furat Regular"/>
                <w:b/>
                <w:bCs/>
                <w:sz w:val="18"/>
                <w:szCs w:val="18"/>
                <w:rtl/>
              </w:rPr>
              <w:t>عليها وأقردت</w:t>
            </w:r>
            <w:r w:rsidRPr="00A02C06">
              <w:rPr>
                <w:rFonts w:cs="AGA Furat Regular"/>
                <w:b/>
                <w:bCs/>
                <w:sz w:val="18"/>
                <w:szCs w:val="18"/>
                <w:rtl/>
              </w:rPr>
              <w:br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2C06" w:rsidRPr="00A02C06" w:rsidRDefault="00A02C06" w:rsidP="00A02C06">
            <w:pPr>
              <w:spacing w:after="120"/>
              <w:jc w:val="center"/>
              <w:rPr>
                <w:rFonts w:cs="AL-Hotham" w:hint="cs"/>
                <w:b/>
                <w:bCs/>
                <w:sz w:val="18"/>
                <w:szCs w:val="18"/>
                <w:rtl/>
              </w:rPr>
            </w:pPr>
            <w:r w:rsidRPr="00A02C06">
              <w:rPr>
                <w:rFonts w:cs="AL-Hotham" w:hint="cs"/>
                <w:b/>
                <w:bCs/>
                <w:sz w:val="18"/>
                <w:szCs w:val="18"/>
                <w:rtl/>
              </w:rPr>
              <w:t>*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A02C06" w:rsidRPr="00A02C06" w:rsidRDefault="00A02C06" w:rsidP="00A02C06">
            <w:pPr>
              <w:spacing w:after="120"/>
              <w:jc w:val="both"/>
              <w:rPr>
                <w:rFonts w:cs="AGA Furat Regular" w:hint="cs"/>
                <w:b/>
                <w:bCs/>
                <w:sz w:val="18"/>
                <w:szCs w:val="18"/>
                <w:rtl/>
              </w:rPr>
            </w:pPr>
            <w:r w:rsidRPr="00A02C06">
              <w:rPr>
                <w:rFonts w:cs="AGA Furat Regular"/>
                <w:b/>
                <w:bCs/>
                <w:sz w:val="18"/>
                <w:szCs w:val="18"/>
                <w:rtl/>
              </w:rPr>
              <w:t>ألا هل أخو عيش لذيذ بدائم</w:t>
            </w:r>
            <w:r w:rsidRPr="00A02C06">
              <w:rPr>
                <w:rFonts w:cs="AGA Furat Regular"/>
                <w:b/>
                <w:bCs/>
                <w:sz w:val="18"/>
                <w:szCs w:val="18"/>
                <w:rtl/>
              </w:rPr>
              <w:br/>
            </w:r>
          </w:p>
        </w:tc>
      </w:tr>
    </w:tbl>
    <w:p w:rsidR="00A02C06" w:rsidRPr="00A02C06" w:rsidRDefault="00A02C06" w:rsidP="00A02C06">
      <w:pPr>
        <w:pStyle w:val="NormalWeb"/>
        <w:bidi/>
        <w:spacing w:before="0" w:beforeAutospacing="0" w:after="120" w:afterAutospacing="0"/>
        <w:jc w:val="lowKashida"/>
        <w:rPr>
          <w:rFonts w:ascii="Simplified Arabic" w:hAnsi="Simplified Arabic" w:cs="AL-Hotham"/>
          <w:b/>
          <w:bCs/>
          <w:sz w:val="18"/>
          <w:szCs w:val="18"/>
          <w:rtl/>
        </w:rPr>
      </w:pPr>
      <w:r w:rsidRPr="00A02C06">
        <w:rPr>
          <w:rFonts w:ascii="Simplified Arabic" w:hAnsi="Simplified Arabic" w:cs="AL-Hotham"/>
          <w:b/>
          <w:bCs/>
          <w:sz w:val="18"/>
          <w:szCs w:val="18"/>
          <w:rtl/>
        </w:rPr>
        <w:t>فذكر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"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</w:rPr>
        <w:t>لا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" 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</w:rPr>
        <w:t>في القراءة يسيغه معنى الجحد في كيف، مثلما تضمن حرف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"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</w:rPr>
        <w:t>هل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" 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</w:rPr>
        <w:t>معنى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</w:rPr>
        <w:t xml:space="preserve">النفي. ولا يكتفي الرجل بتخريج هذه الحروف أو نصرتها باللغة، بل 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</w:rPr>
        <w:lastRenderedPageBreak/>
        <w:t>ينعطف بها جميعًا إلى مرتبة الدليل على القراءات المشهورة المعروفة، وهي سنة سار عليها كل من ألف في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</w:rPr>
        <w:t>الاحتجاج للقراءات المختارة بعد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. </w:t>
      </w:r>
    </w:p>
    <w:p w:rsidR="00A02C06" w:rsidRPr="00A02C06" w:rsidRDefault="00A02C06" w:rsidP="00A02C06">
      <w:pPr>
        <w:pStyle w:val="NormalWeb"/>
        <w:bidi/>
        <w:spacing w:before="0" w:beforeAutospacing="0" w:after="120" w:afterAutospacing="0"/>
        <w:jc w:val="both"/>
        <w:rPr>
          <w:rFonts w:ascii="Simplified Arabic" w:hAnsi="Simplified Arabic" w:cs="AL-Hotham"/>
          <w:b/>
          <w:bCs/>
          <w:sz w:val="18"/>
          <w:szCs w:val="18"/>
          <w:lang w:bidi="ar-EG"/>
        </w:rPr>
      </w:pPr>
      <w:r w:rsidRPr="00A02C06">
        <w:rPr>
          <w:rFonts w:ascii="Simplified Arabic" w:hAnsi="Simplified Arabic" w:cs="AL-Hotham"/>
          <w:b/>
          <w:bCs/>
          <w:sz w:val="18"/>
          <w:szCs w:val="18"/>
          <w:rtl/>
        </w:rPr>
        <w:t>وقد أكثر من هذا الأسلوب، ونكتفي بمثال واحد على ذلك،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</w:rPr>
        <w:t>وهو احتجاجه لوجه رفع قوله تعالى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: </w:t>
      </w:r>
      <w:r w:rsidRPr="00A02C06">
        <w:rPr>
          <w:rFonts w:ascii="Simplified Arabic" w:hAnsi="Simplified Arabic" w:cs="DecoType Thuluth"/>
          <w:b/>
          <w:bCs/>
          <w:sz w:val="18"/>
          <w:szCs w:val="18"/>
          <w:rtl/>
          <w:lang w:bidi="ar-EG"/>
        </w:rPr>
        <w:t>{</w:t>
      </w:r>
      <w:r w:rsidRPr="00A02C06">
        <w:rPr>
          <w:rFonts w:ascii="QCF_P018" w:hAnsi="QCF_P018" w:cs="QCF_P018"/>
          <w:b/>
          <w:bCs/>
          <w:sz w:val="18"/>
          <w:szCs w:val="18"/>
          <w:rtl/>
        </w:rPr>
        <w:t>ﰅ ﰆ ﰇ ﰈ ﰉ</w:t>
      </w:r>
      <w:r w:rsidRPr="00A02C06">
        <w:rPr>
          <w:rFonts w:ascii="QCF_P018" w:hAnsi="QCF_P018" w:cs="DecoType Thuluth"/>
          <w:b/>
          <w:bCs/>
          <w:sz w:val="18"/>
          <w:szCs w:val="18"/>
          <w:rtl/>
        </w:rPr>
        <w:t>}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[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</w:rPr>
        <w:t>البقرة: 119] بقراءة أبي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: "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</w:rPr>
        <w:t>وما تَسأل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"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</w:rPr>
        <w:t>، وبقراءة ابن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</w:rPr>
        <w:t>مسعود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: "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</w:rPr>
        <w:t>ولن تُسأل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"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</w:rPr>
        <w:t>، والفراء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</w:rPr>
        <w:t>كثير الاعتداد بهذه الحروف، يتحمس لها، ويجعلها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</w:rPr>
        <w:t>في كثير من الأحيان وجه الكلام، أو الأكثر في كلام العرب، وقد يتعصب لها على نحو يؤدي به إلى نقض أصل نحوي كان قرره، من ذلك: أنه ذهب إلى منع إضمار الجر فقال: لأن إضمار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</w:rPr>
        <w:t>الخفض غير جائز. وعندما وجد ابن مسعود يقرأ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: "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</w:rPr>
        <w:t>يسألونك عن الشهر الحرام عن قتال فيه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" 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</w:rPr>
        <w:t>بإثبات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"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</w:rPr>
        <w:t>عن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"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</w:rPr>
        <w:t>، أجاز هذا الإضمار، وقدر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"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</w:rPr>
        <w:t>عن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" 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</w:rPr>
        <w:t>محذوفة في قراءة الجمهور، فقال: فخفضه على نية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"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</w:rPr>
        <w:t>عن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" 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</w:rPr>
        <w:t>مضمرة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.</w:t>
      </w:r>
    </w:p>
    <w:p w:rsidR="00A02C06" w:rsidRPr="00A02C06" w:rsidRDefault="00A02C06" w:rsidP="00A02C06">
      <w:pPr>
        <w:pStyle w:val="NormalWeb"/>
        <w:bidi/>
        <w:spacing w:before="0" w:beforeAutospacing="0" w:after="120" w:afterAutospacing="0"/>
        <w:jc w:val="lowKashida"/>
        <w:rPr>
          <w:rFonts w:ascii="Simplified Arabic" w:hAnsi="Simplified Arabic" w:cs="AL-Hotham"/>
          <w:b/>
          <w:bCs/>
          <w:sz w:val="18"/>
          <w:szCs w:val="18"/>
          <w:lang w:bidi="ar-EG"/>
        </w:rPr>
      </w:pPr>
      <w:r w:rsidRPr="00A02C06">
        <w:rPr>
          <w:rFonts w:ascii="Simplified Arabic" w:hAnsi="Simplified Arabic" w:cs="AL-Hotham"/>
          <w:b/>
          <w:bCs/>
          <w:sz w:val="18"/>
          <w:szCs w:val="18"/>
          <w:rtl/>
        </w:rPr>
        <w:t>القراءات الأحادية وغير المشهورة: وهي كثيرة أيضًا عند الفراء، وتشتمل على القراءات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</w:rPr>
        <w:t>المروية عن بعض القراء، وعلى القراءات التي يرويها الفراء عن قارئ واحد، وينص أحيانًا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</w:rPr>
        <w:t>على تفرده بها، ولن يخرج الفراء في موقفه من هذه القراءات عن موقفه من الحروف، من حيث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</w:rPr>
        <w:t>الاحتجاج لها بالقرآن، أو الشعر، أو اللغات، ولكنه يبدي قليلًا من عدم الحماسة، أو الرفض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</w:rPr>
        <w:t>تجاه بعضها؛ وذلك لمخالفتها ما يشتهيه من وجوه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.</w:t>
      </w:r>
    </w:p>
    <w:p w:rsidR="00A02C06" w:rsidRPr="00A02C06" w:rsidRDefault="00A02C06" w:rsidP="00A02C06">
      <w:pPr>
        <w:pStyle w:val="NormalWeb"/>
        <w:bidi/>
        <w:spacing w:before="0" w:beforeAutospacing="0" w:after="120" w:afterAutospacing="0"/>
        <w:jc w:val="both"/>
        <w:rPr>
          <w:rFonts w:ascii="Simplified Arabic" w:hAnsi="Simplified Arabic" w:cs="AL-Hotham"/>
          <w:b/>
          <w:bCs/>
          <w:sz w:val="18"/>
          <w:szCs w:val="18"/>
          <w:lang w:bidi="ar-EG"/>
        </w:rPr>
      </w:pPr>
      <w:r w:rsidRPr="00A02C06">
        <w:rPr>
          <w:rFonts w:ascii="Simplified Arabic" w:hAnsi="Simplified Arabic" w:cs="AL-Hotham"/>
          <w:b/>
          <w:bCs/>
          <w:sz w:val="18"/>
          <w:szCs w:val="18"/>
          <w:rtl/>
        </w:rPr>
        <w:t>وقد كان يذكرها أحيانًا كما الحروف استئناسًا بلا تعليق،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</w:rPr>
        <w:t>ولعله كان يفعل ذلك لبيان قوة اختياره، وقد يوجهها توجيهًا نحويًّا بسيطًا كقوله في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</w:rPr>
        <w:t>قراءة الحسن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: </w:t>
      </w:r>
      <w:r w:rsidRPr="00A02C06">
        <w:rPr>
          <w:rFonts w:ascii="Simplified Arabic" w:hAnsi="Simplified Arabic" w:cs="DecoType Thuluth"/>
          <w:b/>
          <w:bCs/>
          <w:sz w:val="18"/>
          <w:szCs w:val="18"/>
          <w:rtl/>
          <w:lang w:bidi="ar-EG"/>
        </w:rPr>
        <w:t>{</w:t>
      </w:r>
      <w:r w:rsidRPr="00A02C06">
        <w:rPr>
          <w:rFonts w:ascii="QCF_P016" w:hAnsi="QCF_P016" w:cs="QCF_P016"/>
          <w:b/>
          <w:bCs/>
          <w:sz w:val="18"/>
          <w:szCs w:val="18"/>
          <w:rtl/>
        </w:rPr>
        <w:t>ﯖ ﯗ ﯘ</w:t>
      </w:r>
      <w:r w:rsidRPr="00A02C06">
        <w:rPr>
          <w:rFonts w:ascii="QCF_P016" w:hAnsi="QCF_P016" w:cs="DecoType Thuluth"/>
          <w:b/>
          <w:bCs/>
          <w:sz w:val="18"/>
          <w:szCs w:val="18"/>
          <w:rtl/>
        </w:rPr>
        <w:t>}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[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</w:rPr>
        <w:t>البقرة: 104]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</w:rPr>
        <w:t>بتنوين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"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</w:rPr>
        <w:t>راعنا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"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</w:rPr>
        <w:t>،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"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</w:rPr>
        <w:t>لا تقولوا راعنًا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" 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</w:rPr>
        <w:t>بتنوين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"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</w:rPr>
        <w:t>راعنًا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" 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</w:rPr>
        <w:t>على المفعولية لفعل القوم، أو يلجأ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</w:rPr>
        <w:t>إلى القياس، فقد قاس قراءة أهل البدو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: "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</w:rPr>
        <w:t>الحمدِ لله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" 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</w:rPr>
        <w:t>بكسر الدال على قولهم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: "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</w:rPr>
        <w:t>إبل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". 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</w:rPr>
        <w:t>قال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: 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</w:rPr>
        <w:t>هذه كلمة كثرت على ألسنة العرب حتى صارت كالاسم الواحد، فثقل عليهم أن يجتمع في اسم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</w:rPr>
        <w:t>واحد ضمة بعدها كسرة، ووجدوا الكسرتين قد تجتمعان في الاسم الواحد مثل: إبلٍ، فكسروا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</w:rPr>
        <w:t>الدال؛ ليكون على المثال من أسمائه، كما قاس قراءة بعض العرب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: "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</w:rPr>
        <w:t>يس والقرآنَ الحكيم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" 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</w:rPr>
        <w:t>بنصب النون على ليت ولعل في تحريك آخرها؛ لوجود الساكن قبلها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.</w:t>
      </w:r>
    </w:p>
    <w:p w:rsidR="00A02C06" w:rsidRPr="00A02C06" w:rsidRDefault="00A02C06" w:rsidP="00A02C06">
      <w:pPr>
        <w:pStyle w:val="NormalWeb"/>
        <w:bidi/>
        <w:spacing w:before="0" w:beforeAutospacing="0" w:after="120" w:afterAutospacing="0"/>
        <w:jc w:val="lowKashida"/>
        <w:rPr>
          <w:rFonts w:ascii="Simplified Arabic" w:hAnsi="Simplified Arabic" w:cs="AL-Hotham"/>
          <w:b/>
          <w:bCs/>
          <w:spacing w:val="-4"/>
          <w:sz w:val="18"/>
          <w:szCs w:val="18"/>
          <w:lang w:bidi="ar-EG"/>
        </w:rPr>
      </w:pPr>
      <w:r w:rsidRPr="00A02C06">
        <w:rPr>
          <w:rFonts w:ascii="Simplified Arabic" w:hAnsi="Simplified Arabic" w:cs="AL-Hotham"/>
          <w:b/>
          <w:bCs/>
          <w:spacing w:val="-4"/>
          <w:sz w:val="18"/>
          <w:szCs w:val="18"/>
          <w:rtl/>
        </w:rPr>
        <w:t>وقد نراه يحتج بالقراء للقراءة</w:t>
      </w:r>
      <w:r w:rsidRPr="00A02C06">
        <w:rPr>
          <w:rFonts w:ascii="Simplified Arabic" w:hAnsi="Simplified Arabic" w:cs="AL-Hotham"/>
          <w:b/>
          <w:bCs/>
          <w:spacing w:val="-4"/>
          <w:sz w:val="18"/>
          <w:szCs w:val="18"/>
          <w:rtl/>
          <w:lang w:bidi="ar-EG"/>
        </w:rPr>
        <w:t xml:space="preserve"> </w:t>
      </w:r>
      <w:r w:rsidRPr="00A02C06">
        <w:rPr>
          <w:rFonts w:ascii="Simplified Arabic" w:hAnsi="Simplified Arabic" w:cs="AL-Hotham"/>
          <w:b/>
          <w:bCs/>
          <w:spacing w:val="-4"/>
          <w:sz w:val="18"/>
          <w:szCs w:val="18"/>
          <w:rtl/>
        </w:rPr>
        <w:t>الشاذة بمثلها فتقوي كل منهما الأخرى، فقد ذهب إلى أن قراءة زيد بن ثابت</w:t>
      </w:r>
      <w:r w:rsidRPr="00A02C06">
        <w:rPr>
          <w:rFonts w:ascii="Simplified Arabic" w:hAnsi="Simplified Arabic" w:cs="AL-Hotham"/>
          <w:b/>
          <w:bCs/>
          <w:spacing w:val="-4"/>
          <w:sz w:val="18"/>
          <w:szCs w:val="18"/>
          <w:rtl/>
          <w:lang w:bidi="ar-EG"/>
        </w:rPr>
        <w:t>: "</w:t>
      </w:r>
      <w:r w:rsidRPr="00A02C06">
        <w:rPr>
          <w:rFonts w:ascii="Simplified Arabic" w:hAnsi="Simplified Arabic" w:cs="AL-Hotham"/>
          <w:b/>
          <w:bCs/>
          <w:spacing w:val="-4"/>
          <w:sz w:val="18"/>
          <w:szCs w:val="18"/>
          <w:rtl/>
        </w:rPr>
        <w:t>فبذلك</w:t>
      </w:r>
      <w:r w:rsidRPr="00A02C06">
        <w:rPr>
          <w:rFonts w:ascii="Simplified Arabic" w:hAnsi="Simplified Arabic" w:cs="AL-Hotham"/>
          <w:b/>
          <w:bCs/>
          <w:spacing w:val="-4"/>
          <w:sz w:val="18"/>
          <w:szCs w:val="18"/>
          <w:rtl/>
          <w:lang w:bidi="ar-EG"/>
        </w:rPr>
        <w:t xml:space="preserve"> </w:t>
      </w:r>
      <w:r w:rsidRPr="00A02C06">
        <w:rPr>
          <w:rFonts w:ascii="Simplified Arabic" w:hAnsi="Simplified Arabic" w:cs="AL-Hotham"/>
          <w:b/>
          <w:bCs/>
          <w:spacing w:val="-4"/>
          <w:sz w:val="18"/>
          <w:szCs w:val="18"/>
          <w:rtl/>
        </w:rPr>
        <w:t>فلتفرحوا</w:t>
      </w:r>
      <w:r w:rsidRPr="00A02C06">
        <w:rPr>
          <w:rFonts w:ascii="Simplified Arabic" w:hAnsi="Simplified Arabic" w:cs="AL-Hotham"/>
          <w:b/>
          <w:bCs/>
          <w:spacing w:val="-4"/>
          <w:sz w:val="18"/>
          <w:szCs w:val="18"/>
          <w:rtl/>
          <w:lang w:bidi="ar-EG"/>
        </w:rPr>
        <w:t xml:space="preserve">" </w:t>
      </w:r>
      <w:r w:rsidRPr="00A02C06">
        <w:rPr>
          <w:rFonts w:ascii="Simplified Arabic" w:hAnsi="Simplified Arabic" w:cs="AL-Hotham"/>
          <w:b/>
          <w:bCs/>
          <w:spacing w:val="-4"/>
          <w:sz w:val="18"/>
          <w:szCs w:val="18"/>
          <w:rtl/>
        </w:rPr>
        <w:t>هي الأصل؛ لدخول اللام على الأمر في المواجه كما في غيره،</w:t>
      </w:r>
      <w:r w:rsidRPr="00A02C06">
        <w:rPr>
          <w:rFonts w:ascii="Simplified Arabic" w:hAnsi="Simplified Arabic" w:cs="AL-Hotham"/>
          <w:b/>
          <w:bCs/>
          <w:spacing w:val="-4"/>
          <w:sz w:val="18"/>
          <w:szCs w:val="18"/>
          <w:rtl/>
          <w:lang w:bidi="ar-EG"/>
        </w:rPr>
        <w:t xml:space="preserve"> </w:t>
      </w:r>
      <w:r w:rsidRPr="00A02C06">
        <w:rPr>
          <w:rFonts w:ascii="Simplified Arabic" w:hAnsi="Simplified Arabic" w:cs="AL-Hotham"/>
          <w:b/>
          <w:bCs/>
          <w:spacing w:val="-4"/>
          <w:sz w:val="18"/>
          <w:szCs w:val="18"/>
          <w:rtl/>
        </w:rPr>
        <w:t>وقوّى</w:t>
      </w:r>
      <w:r w:rsidRPr="00A02C06">
        <w:rPr>
          <w:rFonts w:ascii="Simplified Arabic" w:hAnsi="Simplified Arabic" w:cs="AL-Hotham"/>
          <w:b/>
          <w:bCs/>
          <w:spacing w:val="-4"/>
          <w:sz w:val="18"/>
          <w:szCs w:val="18"/>
          <w:rtl/>
          <w:lang w:bidi="ar-EG"/>
        </w:rPr>
        <w:t xml:space="preserve"> </w:t>
      </w:r>
      <w:r w:rsidRPr="00A02C06">
        <w:rPr>
          <w:rFonts w:ascii="Simplified Arabic" w:hAnsi="Simplified Arabic" w:cs="AL-Hotham"/>
          <w:b/>
          <w:bCs/>
          <w:spacing w:val="-4"/>
          <w:sz w:val="18"/>
          <w:szCs w:val="18"/>
          <w:rtl/>
        </w:rPr>
        <w:t>ذلك بقراءة أبي</w:t>
      </w:r>
      <w:r w:rsidRPr="00A02C06">
        <w:rPr>
          <w:rFonts w:ascii="Simplified Arabic" w:hAnsi="Simplified Arabic" w:cs="AL-Hotham"/>
          <w:b/>
          <w:bCs/>
          <w:spacing w:val="-4"/>
          <w:sz w:val="18"/>
          <w:szCs w:val="18"/>
          <w:rtl/>
          <w:lang w:bidi="ar-EG"/>
        </w:rPr>
        <w:t>: "</w:t>
      </w:r>
      <w:r w:rsidRPr="00A02C06">
        <w:rPr>
          <w:rFonts w:ascii="Simplified Arabic" w:hAnsi="Simplified Arabic" w:cs="AL-Hotham"/>
          <w:b/>
          <w:bCs/>
          <w:spacing w:val="-4"/>
          <w:sz w:val="18"/>
          <w:szCs w:val="18"/>
          <w:rtl/>
        </w:rPr>
        <w:t>فبذلك فافرحوا</w:t>
      </w:r>
      <w:r w:rsidRPr="00A02C06">
        <w:rPr>
          <w:rFonts w:ascii="Simplified Arabic" w:hAnsi="Simplified Arabic" w:cs="AL-Hotham"/>
          <w:b/>
          <w:bCs/>
          <w:spacing w:val="-4"/>
          <w:sz w:val="18"/>
          <w:szCs w:val="18"/>
          <w:rtl/>
          <w:lang w:bidi="ar-EG"/>
        </w:rPr>
        <w:t>"</w:t>
      </w:r>
      <w:r w:rsidRPr="00A02C06">
        <w:rPr>
          <w:rFonts w:ascii="Simplified Arabic" w:hAnsi="Simplified Arabic" w:cs="AL-Hotham"/>
          <w:b/>
          <w:bCs/>
          <w:spacing w:val="-4"/>
          <w:sz w:val="18"/>
          <w:szCs w:val="18"/>
          <w:rtl/>
        </w:rPr>
        <w:t>، قال</w:t>
      </w:r>
      <w:r w:rsidRPr="00A02C06">
        <w:rPr>
          <w:rFonts w:ascii="Simplified Arabic" w:hAnsi="Simplified Arabic" w:cs="AL-Hotham"/>
          <w:b/>
          <w:bCs/>
          <w:spacing w:val="-4"/>
          <w:sz w:val="18"/>
          <w:szCs w:val="18"/>
          <w:rtl/>
          <w:lang w:bidi="ar-EG"/>
        </w:rPr>
        <w:t xml:space="preserve">: </w:t>
      </w:r>
      <w:r w:rsidRPr="00A02C06">
        <w:rPr>
          <w:rFonts w:ascii="Simplified Arabic" w:hAnsi="Simplified Arabic" w:cs="AL-Hotham"/>
          <w:b/>
          <w:bCs/>
          <w:spacing w:val="-4"/>
          <w:sz w:val="18"/>
          <w:szCs w:val="18"/>
          <w:rtl/>
        </w:rPr>
        <w:t>وقوى قول زيد أنها في قراءة أبي، وهو البناء الذي خلق للأمر إذا واجهت به، أم لم</w:t>
      </w:r>
      <w:r w:rsidRPr="00A02C06">
        <w:rPr>
          <w:rFonts w:ascii="Simplified Arabic" w:hAnsi="Simplified Arabic" w:cs="AL-Hotham"/>
          <w:b/>
          <w:bCs/>
          <w:spacing w:val="-4"/>
          <w:sz w:val="18"/>
          <w:szCs w:val="18"/>
          <w:rtl/>
          <w:lang w:bidi="ar-EG"/>
        </w:rPr>
        <w:t xml:space="preserve"> </w:t>
      </w:r>
      <w:r w:rsidRPr="00A02C06">
        <w:rPr>
          <w:rFonts w:ascii="Simplified Arabic" w:hAnsi="Simplified Arabic" w:cs="AL-Hotham"/>
          <w:b/>
          <w:bCs/>
          <w:spacing w:val="-4"/>
          <w:sz w:val="18"/>
          <w:szCs w:val="18"/>
          <w:rtl/>
        </w:rPr>
        <w:t>تواجه</w:t>
      </w:r>
      <w:r w:rsidRPr="00A02C06">
        <w:rPr>
          <w:rFonts w:ascii="Simplified Arabic" w:hAnsi="Simplified Arabic" w:cs="AL-Hotham"/>
          <w:b/>
          <w:bCs/>
          <w:spacing w:val="-4"/>
          <w:sz w:val="18"/>
          <w:szCs w:val="18"/>
          <w:rtl/>
          <w:lang w:bidi="ar-EG"/>
        </w:rPr>
        <w:t>.</w:t>
      </w:r>
    </w:p>
    <w:p w:rsidR="00A02C06" w:rsidRPr="00A02C06" w:rsidRDefault="00A02C06" w:rsidP="00A02C06">
      <w:pPr>
        <w:pStyle w:val="NormalWeb"/>
        <w:bidi/>
        <w:spacing w:before="0" w:beforeAutospacing="0" w:after="120" w:afterAutospacing="0"/>
        <w:jc w:val="lowKashida"/>
        <w:rPr>
          <w:rFonts w:ascii="Simplified Arabic" w:hAnsi="Simplified Arabic" w:cs="AL-Hotham"/>
          <w:b/>
          <w:bCs/>
          <w:spacing w:val="-2"/>
          <w:sz w:val="18"/>
          <w:szCs w:val="18"/>
          <w:lang w:bidi="ar-EG"/>
        </w:rPr>
      </w:pPr>
      <w:r w:rsidRPr="00A02C06">
        <w:rPr>
          <w:rFonts w:ascii="Simplified Arabic" w:hAnsi="Simplified Arabic" w:cs="AL-Hotham"/>
          <w:b/>
          <w:bCs/>
          <w:spacing w:val="-2"/>
          <w:sz w:val="18"/>
          <w:szCs w:val="18"/>
          <w:rtl/>
        </w:rPr>
        <w:t>والفراء عمومًا لا يفرق بين وجوه هذه القراءات وبين القراءات المشهورة، بل</w:t>
      </w:r>
      <w:r w:rsidRPr="00A02C06">
        <w:rPr>
          <w:rFonts w:ascii="Simplified Arabic" w:hAnsi="Simplified Arabic" w:cs="AL-Hotham"/>
          <w:b/>
          <w:bCs/>
          <w:spacing w:val="-2"/>
          <w:sz w:val="18"/>
          <w:szCs w:val="18"/>
          <w:rtl/>
          <w:lang w:bidi="ar-EG"/>
        </w:rPr>
        <w:t xml:space="preserve"> </w:t>
      </w:r>
      <w:r w:rsidRPr="00A02C06">
        <w:rPr>
          <w:rFonts w:ascii="Simplified Arabic" w:hAnsi="Simplified Arabic" w:cs="AL-Hotham"/>
          <w:b/>
          <w:bCs/>
          <w:spacing w:val="-2"/>
          <w:sz w:val="18"/>
          <w:szCs w:val="18"/>
          <w:rtl/>
        </w:rPr>
        <w:t>يأخذ بها جميعًا ويستحسنها، ويصفها بالجودة والحسن، وفشو اللغة ما دامت توافق مقياسه</w:t>
      </w:r>
      <w:r w:rsidRPr="00A02C06">
        <w:rPr>
          <w:rFonts w:ascii="Simplified Arabic" w:hAnsi="Simplified Arabic" w:cs="AL-Hotham"/>
          <w:b/>
          <w:bCs/>
          <w:spacing w:val="-2"/>
          <w:sz w:val="18"/>
          <w:szCs w:val="18"/>
          <w:rtl/>
          <w:lang w:bidi="ar-EG"/>
        </w:rPr>
        <w:t xml:space="preserve"> </w:t>
      </w:r>
      <w:r w:rsidRPr="00A02C06">
        <w:rPr>
          <w:rFonts w:ascii="Simplified Arabic" w:hAnsi="Simplified Arabic" w:cs="AL-Hotham"/>
          <w:b/>
          <w:bCs/>
          <w:spacing w:val="-2"/>
          <w:sz w:val="18"/>
          <w:szCs w:val="18"/>
          <w:rtl/>
        </w:rPr>
        <w:t>النحوي، وهي كالحروف أيضًا في قوتها لديه، فقد وجدناه يفضل بعض وجوهها على القراءات</w:t>
      </w:r>
      <w:r w:rsidRPr="00A02C06">
        <w:rPr>
          <w:rFonts w:ascii="Simplified Arabic" w:hAnsi="Simplified Arabic" w:cs="AL-Hotham"/>
          <w:b/>
          <w:bCs/>
          <w:spacing w:val="-2"/>
          <w:sz w:val="18"/>
          <w:szCs w:val="18"/>
          <w:rtl/>
          <w:lang w:bidi="ar-EG"/>
        </w:rPr>
        <w:t xml:space="preserve"> </w:t>
      </w:r>
      <w:r w:rsidRPr="00A02C06">
        <w:rPr>
          <w:rFonts w:ascii="Simplified Arabic" w:hAnsi="Simplified Arabic" w:cs="AL-Hotham"/>
          <w:b/>
          <w:bCs/>
          <w:spacing w:val="-2"/>
          <w:sz w:val="18"/>
          <w:szCs w:val="18"/>
          <w:rtl/>
        </w:rPr>
        <w:t>المشهورة، وهو في الغالب يقف منها موقف الاحترام</w:t>
      </w:r>
      <w:r w:rsidRPr="00A02C06">
        <w:rPr>
          <w:rFonts w:ascii="Simplified Arabic" w:hAnsi="Simplified Arabic" w:cs="AL-Hotham"/>
          <w:b/>
          <w:bCs/>
          <w:spacing w:val="-2"/>
          <w:sz w:val="18"/>
          <w:szCs w:val="18"/>
          <w:rtl/>
          <w:lang w:bidi="ar-EG"/>
        </w:rPr>
        <w:t>.</w:t>
      </w:r>
    </w:p>
    <w:p w:rsidR="00A02C06" w:rsidRPr="00A02C06" w:rsidRDefault="00A02C06" w:rsidP="00A02C06">
      <w:pPr>
        <w:pStyle w:val="NormalWeb"/>
        <w:bidi/>
        <w:spacing w:before="0" w:beforeAutospacing="0" w:after="120" w:afterAutospacing="0"/>
        <w:jc w:val="both"/>
        <w:rPr>
          <w:rFonts w:ascii="Simplified Arabic" w:hAnsi="Simplified Arabic" w:cs="AL-Hotham"/>
          <w:b/>
          <w:bCs/>
          <w:sz w:val="18"/>
          <w:szCs w:val="18"/>
          <w:lang w:bidi="ar-EG"/>
        </w:rPr>
      </w:pPr>
      <w:r w:rsidRPr="00A02C06">
        <w:rPr>
          <w:rFonts w:ascii="Simplified Arabic" w:hAnsi="Simplified Arabic" w:cs="AL-Hotham"/>
          <w:b/>
          <w:bCs/>
          <w:sz w:val="18"/>
          <w:szCs w:val="18"/>
          <w:rtl/>
        </w:rPr>
        <w:t>على أن تحكيم الفراء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</w:rPr>
        <w:t>لمقياسه النحوي دفعه إلى عدم الحماسة لبعض هذه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</w:rPr>
        <w:t>القراءات، أو رفضها، وتفضيل غيرها عليها. فقد فضل قراءة الجمهور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: </w:t>
      </w:r>
      <w:r w:rsidRPr="00A02C06">
        <w:rPr>
          <w:rFonts w:ascii="Simplified Arabic" w:hAnsi="Simplified Arabic" w:cs="DecoType Thuluth"/>
          <w:b/>
          <w:bCs/>
          <w:sz w:val="18"/>
          <w:szCs w:val="18"/>
          <w:rtl/>
          <w:lang w:bidi="ar-EG"/>
        </w:rPr>
        <w:t>{</w:t>
      </w:r>
      <w:r w:rsidRPr="00A02C06">
        <w:rPr>
          <w:rFonts w:ascii="QCF_P028" w:hAnsi="QCF_P028" w:cs="QCF_P028"/>
          <w:b/>
          <w:bCs/>
          <w:sz w:val="18"/>
          <w:szCs w:val="18"/>
          <w:rtl/>
        </w:rPr>
        <w:t>ﮘ ﮙ</w:t>
      </w:r>
      <w:r w:rsidRPr="00A02C06">
        <w:rPr>
          <w:rFonts w:ascii="QCF_P028" w:hAnsi="QCF_P028" w:cs="DecoType Thuluth"/>
          <w:b/>
          <w:bCs/>
          <w:sz w:val="18"/>
          <w:szCs w:val="18"/>
          <w:rtl/>
        </w:rPr>
        <w:t>}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[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</w:rPr>
        <w:t>البقرة: 185] بالرفع على قراءة النصب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: "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</w:rPr>
        <w:t>شهر رمضان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" 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</w:rPr>
        <w:t>النادرة، ووصفها بالجودة، كما وصف غيرها بعبارات مختلفة منها: الوجه الأول أحسن، وهي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</w:rPr>
        <w:t>الوجه، والوجه الأول أعجب إلي، وأجودها الرفع، والوجه الرفع، والرفع وجه القراءة، ووصف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</w:rPr>
        <w:t>القراءة النادرة بالقبح، ولا أشتهيها، ولست أستحب، ولست أرغب، ولا أشتهيها؛ لأنها شاذة،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</w:rPr>
        <w:t>يريد هنا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</w:rPr>
        <w:t>الشذوذ اللغوي، أو النحوي،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</w:rPr>
        <w:t>غير أنه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</w:rPr>
        <w:t>مع ذلك كان يحاول إيجاد المخارج لها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.</w:t>
      </w:r>
    </w:p>
    <w:p w:rsidR="00A02C06" w:rsidRPr="00A02C06" w:rsidRDefault="00A02C06" w:rsidP="00A02C06">
      <w:pPr>
        <w:pStyle w:val="NormalWeb"/>
        <w:bidi/>
        <w:spacing w:before="0" w:beforeAutospacing="0" w:after="120" w:afterAutospacing="0"/>
        <w:jc w:val="lowKashida"/>
        <w:rPr>
          <w:rFonts w:ascii="Simplified Arabic" w:hAnsi="Simplified Arabic" w:cs="AL-Hotham"/>
          <w:b/>
          <w:bCs/>
          <w:sz w:val="18"/>
          <w:szCs w:val="18"/>
          <w:lang w:bidi="ar-EG"/>
        </w:rPr>
      </w:pPr>
      <w:r w:rsidRPr="00A02C06">
        <w:rPr>
          <w:rFonts w:ascii="Simplified Arabic" w:hAnsi="Simplified Arabic" w:cs="AL-Hotham"/>
          <w:b/>
          <w:bCs/>
          <w:sz w:val="18"/>
          <w:szCs w:val="18"/>
          <w:rtl/>
        </w:rPr>
        <w:t>وذلك كما جاء في قراءة بعضهم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: "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</w:rPr>
        <w:t>يَكَادُ سَنَا بَرْقِهِ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</w:rPr>
        <w:t>يُذْهِبُ بِالْأَبْصَارِ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" 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</w:rPr>
        <w:t>بضم الياء وكسر الهاء غير مستحبة،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</w:rPr>
        <w:t>ولكنها مشفوعة بقراءة ابن كثير، وأبي عمرو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: 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lastRenderedPageBreak/>
        <w:t>"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</w:rPr>
        <w:t>وشجرة تخرج من طور سيناء تُنبت بالدهن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" 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</w:rPr>
        <w:t>بضم التاء وكسر الباء، وبقول العرب: خذ بالخطام. ولكن المقياس النحوي قد يشتد فتقسو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</w:rPr>
        <w:t>عبارات الفراء، فيرمي بعض هذه القراءات بالغلط، أو يقول في بعضها: وهو مما يرفض من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</w:rPr>
        <w:t>القراءة. فالفراء يسعى جاهدًا لاستيعاب لغة القرآن وقراءاته راغبًا دائمًا في قبولها،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</w:rPr>
        <w:t>إلا إذا ابتعدت كثيرًا عنه، فإنه لا يتورع عن رفضها ولو كانت سنة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.</w:t>
      </w:r>
    </w:p>
    <w:p w:rsidR="00A02C06" w:rsidRPr="00A02C06" w:rsidRDefault="00A02C06" w:rsidP="00A02C06">
      <w:pPr>
        <w:pStyle w:val="NormalWeb"/>
        <w:bidi/>
        <w:spacing w:before="0" w:beforeAutospacing="0" w:after="120" w:afterAutospacing="0"/>
        <w:jc w:val="lowKashida"/>
        <w:rPr>
          <w:rFonts w:ascii="Simplified Arabic" w:hAnsi="Simplified Arabic" w:cs="AL-Hotham"/>
          <w:b/>
          <w:bCs/>
          <w:sz w:val="18"/>
          <w:szCs w:val="18"/>
          <w:lang w:bidi="ar-EG"/>
        </w:rPr>
      </w:pPr>
      <w:r w:rsidRPr="00A02C06">
        <w:rPr>
          <w:rFonts w:ascii="Simplified Arabic" w:hAnsi="Simplified Arabic" w:cs="AL-Hotham"/>
          <w:b/>
          <w:bCs/>
          <w:sz w:val="18"/>
          <w:szCs w:val="18"/>
          <w:rtl/>
        </w:rPr>
        <w:t>الوجوه النحوية الجائزة في الآيات: يبدو أن الفراء لم يكتتب معالجته لآيات القرآن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</w:rPr>
        <w:t>وقراءاته في عرض أصوله النحوية؛ فعمد إلى استيفائها من طريق الوجوه التي تحتملها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</w:rPr>
        <w:t>الآيات. وقد نص على جواز ذلك في كلام الناس دون القراءة، فمن أقواله: ولو نصب لجاز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</w:rPr>
        <w:t>ذلك في غير القرآن، ولكن معظم هذه الوجوه كانت قراءات لم تبلغهم، وكل هذه القراءات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</w:rPr>
        <w:t>شواذ وفق المقاييس اللاحقة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.</w:t>
      </w:r>
    </w:p>
    <w:p w:rsidR="00A02C06" w:rsidRPr="00A02C06" w:rsidRDefault="00A02C06" w:rsidP="00A02C06">
      <w:pPr>
        <w:pStyle w:val="NormalWeb"/>
        <w:bidi/>
        <w:spacing w:before="0" w:beforeAutospacing="0" w:after="120" w:afterAutospacing="0"/>
        <w:jc w:val="both"/>
        <w:rPr>
          <w:rFonts w:ascii="Simplified Arabic" w:hAnsi="Simplified Arabic" w:cs="AL-Hotham"/>
          <w:b/>
          <w:bCs/>
          <w:sz w:val="18"/>
          <w:szCs w:val="18"/>
          <w:lang w:bidi="ar-EG"/>
        </w:rPr>
      </w:pPr>
      <w:r w:rsidRPr="00A02C06">
        <w:rPr>
          <w:rFonts w:ascii="Simplified Arabic" w:hAnsi="Simplified Arabic" w:cs="AL-Hotham"/>
          <w:b/>
          <w:bCs/>
          <w:sz w:val="18"/>
          <w:szCs w:val="18"/>
          <w:rtl/>
        </w:rPr>
        <w:t>لقد أكثر الفراء من عرض هذه الوجوه بقوله: ولو رفع، ولو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</w:rPr>
        <w:t>نصب، والنصب جائز، والرفع جائز. وغلب عليه تجريدها من الاحتجاج، أو الاحتيال، وذلك تبعًا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</w:rPr>
        <w:t>لطبيعة الوجه النحوي الجاهز في ذهنه، من ذلك: قوله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: </w:t>
      </w:r>
      <w:r w:rsidRPr="00A02C06">
        <w:rPr>
          <w:rFonts w:ascii="Simplified Arabic" w:hAnsi="Simplified Arabic" w:cs="DecoType Thuluth"/>
          <w:b/>
          <w:bCs/>
          <w:sz w:val="18"/>
          <w:szCs w:val="18"/>
          <w:rtl/>
          <w:lang w:bidi="ar-EG"/>
        </w:rPr>
        <w:t>{</w:t>
      </w:r>
      <w:r w:rsidRPr="00A02C06">
        <w:rPr>
          <w:rFonts w:ascii="QCF_P001" w:hAnsi="QCF_P001" w:cs="QCF_P001"/>
          <w:b/>
          <w:bCs/>
          <w:sz w:val="18"/>
          <w:szCs w:val="18"/>
          <w:rtl/>
        </w:rPr>
        <w:t>ﭯ ﭰ ﭱ</w:t>
      </w:r>
      <w:r w:rsidRPr="00A02C06">
        <w:rPr>
          <w:rFonts w:ascii="QCF_P001" w:hAnsi="QCF_P001" w:cs="DecoType Thuluth"/>
          <w:b/>
          <w:bCs/>
          <w:sz w:val="18"/>
          <w:szCs w:val="18"/>
          <w:rtl/>
        </w:rPr>
        <w:t>}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[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</w:rPr>
        <w:t>الفاتحة: 7]، والنصب جائز في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"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</w:rPr>
        <w:t>غير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" 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</w:rPr>
        <w:t>تجعله قطعًا من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</w:rPr>
        <w:t xml:space="preserve">عليه، يريد الحال، والنصب قراءة النبي </w:t>
      </w:r>
      <w:r w:rsidRPr="00A02C06">
        <w:rPr>
          <w:rFonts w:ascii="AGA Arabesque" w:hAnsi="AGA Arabesque" w:cs="Simplified Arabic"/>
          <w:b/>
          <w:bCs/>
          <w:position w:val="-4"/>
          <w:sz w:val="18"/>
          <w:szCs w:val="18"/>
        </w:rPr>
        <w:t>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</w:rPr>
        <w:t xml:space="preserve"> وعمر بن الخطاب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. </w:t>
      </w:r>
    </w:p>
    <w:p w:rsidR="00A02C06" w:rsidRPr="00A02C06" w:rsidRDefault="00A02C06" w:rsidP="00A02C06">
      <w:pPr>
        <w:pStyle w:val="NormalWeb"/>
        <w:bidi/>
        <w:spacing w:before="0" w:beforeAutospacing="0" w:after="120" w:afterAutospacing="0"/>
        <w:jc w:val="both"/>
        <w:rPr>
          <w:rFonts w:ascii="Simplified Arabic" w:hAnsi="Simplified Arabic" w:cs="AL-Hotham"/>
          <w:b/>
          <w:bCs/>
          <w:spacing w:val="-4"/>
          <w:sz w:val="18"/>
          <w:szCs w:val="18"/>
          <w:lang w:bidi="ar-EG"/>
        </w:rPr>
      </w:pPr>
      <w:r w:rsidRPr="00A02C06">
        <w:rPr>
          <w:rFonts w:ascii="Simplified Arabic" w:hAnsi="Simplified Arabic" w:cs="AL-Hotham"/>
          <w:b/>
          <w:bCs/>
          <w:spacing w:val="-4"/>
          <w:sz w:val="18"/>
          <w:szCs w:val="18"/>
          <w:rtl/>
        </w:rPr>
        <w:t>على أن هذه</w:t>
      </w:r>
      <w:r w:rsidRPr="00A02C06">
        <w:rPr>
          <w:rFonts w:ascii="Simplified Arabic" w:hAnsi="Simplified Arabic" w:cs="AL-Hotham"/>
          <w:b/>
          <w:bCs/>
          <w:spacing w:val="-4"/>
          <w:sz w:val="18"/>
          <w:szCs w:val="18"/>
          <w:rtl/>
          <w:lang w:bidi="ar-EG"/>
        </w:rPr>
        <w:t xml:space="preserve"> </w:t>
      </w:r>
      <w:r w:rsidRPr="00A02C06">
        <w:rPr>
          <w:rFonts w:ascii="Simplified Arabic" w:hAnsi="Simplified Arabic" w:cs="AL-Hotham"/>
          <w:b/>
          <w:bCs/>
          <w:spacing w:val="-4"/>
          <w:sz w:val="18"/>
          <w:szCs w:val="18"/>
          <w:rtl/>
        </w:rPr>
        <w:t>الوجوه لم تكن من بنات أفكاره، بل كانت مستقاة من النصوص العربية، ولا سيما لغة القرآن؛</w:t>
      </w:r>
      <w:r w:rsidRPr="00A02C06">
        <w:rPr>
          <w:rFonts w:ascii="Simplified Arabic" w:hAnsi="Simplified Arabic" w:cs="AL-Hotham"/>
          <w:b/>
          <w:bCs/>
          <w:spacing w:val="-4"/>
          <w:sz w:val="18"/>
          <w:szCs w:val="18"/>
          <w:rtl/>
          <w:lang w:bidi="ar-EG"/>
        </w:rPr>
        <w:t xml:space="preserve"> </w:t>
      </w:r>
      <w:r w:rsidRPr="00A02C06">
        <w:rPr>
          <w:rFonts w:ascii="Simplified Arabic" w:hAnsi="Simplified Arabic" w:cs="AL-Hotham"/>
          <w:b/>
          <w:bCs/>
          <w:spacing w:val="-4"/>
          <w:sz w:val="18"/>
          <w:szCs w:val="18"/>
          <w:rtl/>
        </w:rPr>
        <w:t>لأن الفراء كان يستعين على توضيحها أحيانًا بآيات القرآن، أو الشعر، أو لغات</w:t>
      </w:r>
      <w:r w:rsidRPr="00A02C06">
        <w:rPr>
          <w:rFonts w:ascii="Simplified Arabic" w:hAnsi="Simplified Arabic" w:cs="AL-Hotham"/>
          <w:b/>
          <w:bCs/>
          <w:spacing w:val="-4"/>
          <w:sz w:val="18"/>
          <w:szCs w:val="18"/>
          <w:rtl/>
          <w:lang w:bidi="ar-EG"/>
        </w:rPr>
        <w:t xml:space="preserve"> </w:t>
      </w:r>
      <w:r w:rsidRPr="00A02C06">
        <w:rPr>
          <w:rFonts w:ascii="Simplified Arabic" w:hAnsi="Simplified Arabic" w:cs="AL-Hotham"/>
          <w:b/>
          <w:bCs/>
          <w:spacing w:val="-4"/>
          <w:sz w:val="18"/>
          <w:szCs w:val="18"/>
          <w:rtl/>
        </w:rPr>
        <w:t>العرب، أو الحروف المخالفة، أو بهذه الأمور جميعًا، من ذلك: احتجاجه لجواز رفع</w:t>
      </w:r>
      <w:r w:rsidRPr="00A02C06">
        <w:rPr>
          <w:rFonts w:ascii="Simplified Arabic" w:hAnsi="Simplified Arabic" w:cs="AL-Hotham"/>
          <w:b/>
          <w:bCs/>
          <w:spacing w:val="-4"/>
          <w:sz w:val="18"/>
          <w:szCs w:val="18"/>
          <w:rtl/>
          <w:lang w:bidi="ar-EG"/>
        </w:rPr>
        <w:t xml:space="preserve"> "</w:t>
      </w:r>
      <w:r w:rsidRPr="00A02C06">
        <w:rPr>
          <w:rFonts w:ascii="Simplified Arabic" w:hAnsi="Simplified Arabic" w:cs="AL-Hotham"/>
          <w:b/>
          <w:bCs/>
          <w:spacing w:val="-4"/>
          <w:sz w:val="18"/>
          <w:szCs w:val="18"/>
          <w:rtl/>
        </w:rPr>
        <w:t>الطير</w:t>
      </w:r>
      <w:r w:rsidRPr="00A02C06">
        <w:rPr>
          <w:rFonts w:ascii="Simplified Arabic" w:hAnsi="Simplified Arabic" w:cs="AL-Hotham"/>
          <w:b/>
          <w:bCs/>
          <w:spacing w:val="-4"/>
          <w:sz w:val="18"/>
          <w:szCs w:val="18"/>
          <w:rtl/>
          <w:lang w:bidi="ar-EG"/>
        </w:rPr>
        <w:t xml:space="preserve">" </w:t>
      </w:r>
      <w:r w:rsidRPr="00A02C06">
        <w:rPr>
          <w:rFonts w:ascii="Simplified Arabic" w:hAnsi="Simplified Arabic" w:cs="AL-Hotham"/>
          <w:b/>
          <w:bCs/>
          <w:spacing w:val="-4"/>
          <w:sz w:val="18"/>
          <w:szCs w:val="18"/>
          <w:rtl/>
        </w:rPr>
        <w:t>من</w:t>
      </w:r>
      <w:r w:rsidRPr="00A02C06">
        <w:rPr>
          <w:rFonts w:ascii="Simplified Arabic" w:hAnsi="Simplified Arabic" w:cs="AL-Hotham"/>
          <w:b/>
          <w:bCs/>
          <w:spacing w:val="-4"/>
          <w:sz w:val="18"/>
          <w:szCs w:val="18"/>
          <w:rtl/>
          <w:lang w:bidi="ar-EG"/>
        </w:rPr>
        <w:t xml:space="preserve"> </w:t>
      </w:r>
      <w:r w:rsidRPr="00A02C06">
        <w:rPr>
          <w:rFonts w:ascii="Simplified Arabic" w:hAnsi="Simplified Arabic" w:cs="AL-Hotham"/>
          <w:b/>
          <w:bCs/>
          <w:spacing w:val="-4"/>
          <w:sz w:val="18"/>
          <w:szCs w:val="18"/>
          <w:rtl/>
        </w:rPr>
        <w:t>قوله تعالى</w:t>
      </w:r>
      <w:r w:rsidRPr="00A02C06">
        <w:rPr>
          <w:rFonts w:ascii="Simplified Arabic" w:hAnsi="Simplified Arabic" w:cs="AL-Hotham"/>
          <w:b/>
          <w:bCs/>
          <w:spacing w:val="-4"/>
          <w:sz w:val="18"/>
          <w:szCs w:val="18"/>
          <w:rtl/>
          <w:lang w:bidi="ar-EG"/>
        </w:rPr>
        <w:t>: "</w:t>
      </w:r>
      <w:r w:rsidRPr="00A02C06">
        <w:rPr>
          <w:rFonts w:ascii="Simplified Arabic" w:hAnsi="Simplified Arabic" w:cs="AL-Hotham"/>
          <w:b/>
          <w:bCs/>
          <w:spacing w:val="-4"/>
          <w:sz w:val="18"/>
          <w:szCs w:val="18"/>
          <w:rtl/>
        </w:rPr>
        <w:t>يسبحن بالعشي والإشراق والطير محشورة</w:t>
      </w:r>
      <w:r w:rsidRPr="00A02C06">
        <w:rPr>
          <w:rFonts w:ascii="Simplified Arabic" w:hAnsi="Simplified Arabic" w:cs="AL-Hotham"/>
          <w:b/>
          <w:bCs/>
          <w:spacing w:val="-4"/>
          <w:sz w:val="18"/>
          <w:szCs w:val="18"/>
          <w:rtl/>
          <w:lang w:bidi="ar-EG"/>
        </w:rPr>
        <w:t xml:space="preserve">" </w:t>
      </w:r>
      <w:r w:rsidRPr="00A02C06">
        <w:rPr>
          <w:rFonts w:ascii="Simplified Arabic" w:hAnsi="Simplified Arabic" w:cs="AL-Hotham"/>
          <w:b/>
          <w:bCs/>
          <w:spacing w:val="-4"/>
          <w:sz w:val="18"/>
          <w:szCs w:val="18"/>
          <w:rtl/>
        </w:rPr>
        <w:t>بقوله</w:t>
      </w:r>
      <w:r w:rsidRPr="00A02C06">
        <w:rPr>
          <w:rFonts w:ascii="Simplified Arabic" w:hAnsi="Simplified Arabic" w:cs="AL-Hotham"/>
          <w:b/>
          <w:bCs/>
          <w:spacing w:val="-4"/>
          <w:sz w:val="18"/>
          <w:szCs w:val="18"/>
          <w:rtl/>
          <w:lang w:bidi="ar-EG"/>
        </w:rPr>
        <w:t xml:space="preserve">: </w:t>
      </w:r>
      <w:r w:rsidRPr="00A02C06">
        <w:rPr>
          <w:rFonts w:ascii="Simplified Arabic" w:hAnsi="Simplified Arabic" w:cs="DecoType Thuluth"/>
          <w:b/>
          <w:bCs/>
          <w:spacing w:val="-4"/>
          <w:sz w:val="18"/>
          <w:szCs w:val="18"/>
          <w:rtl/>
          <w:lang w:bidi="ar-EG"/>
        </w:rPr>
        <w:t>{</w:t>
      </w:r>
      <w:r w:rsidRPr="00A02C06">
        <w:rPr>
          <w:rFonts w:ascii="QCF_P003" w:hAnsi="QCF_P003" w:cs="QCF_P003"/>
          <w:b/>
          <w:bCs/>
          <w:spacing w:val="-4"/>
          <w:sz w:val="18"/>
          <w:szCs w:val="18"/>
          <w:rtl/>
        </w:rPr>
        <w:t>ﭝ ﭞ ﭟ ﭠ ﭡ ﭢ ﭣ ﭤ ﭥ ﭦ</w:t>
      </w:r>
      <w:r w:rsidRPr="00A02C06">
        <w:rPr>
          <w:rFonts w:ascii="QCF_P003" w:hAnsi="QCF_P003" w:cs="DecoType Thuluth"/>
          <w:b/>
          <w:bCs/>
          <w:spacing w:val="-4"/>
          <w:sz w:val="18"/>
          <w:szCs w:val="18"/>
          <w:rtl/>
        </w:rPr>
        <w:t>}</w:t>
      </w:r>
      <w:r w:rsidRPr="00A02C06">
        <w:rPr>
          <w:rFonts w:ascii="Simplified Arabic" w:hAnsi="Simplified Arabic" w:cs="AL-Hotham"/>
          <w:b/>
          <w:bCs/>
          <w:spacing w:val="-4"/>
          <w:sz w:val="18"/>
          <w:szCs w:val="18"/>
          <w:rtl/>
          <w:lang w:bidi="ar-EG"/>
        </w:rPr>
        <w:t xml:space="preserve"> [</w:t>
      </w:r>
      <w:r w:rsidRPr="00A02C06">
        <w:rPr>
          <w:rFonts w:ascii="Simplified Arabic" w:hAnsi="Simplified Arabic" w:cs="AL-Hotham"/>
          <w:b/>
          <w:bCs/>
          <w:spacing w:val="-4"/>
          <w:sz w:val="18"/>
          <w:szCs w:val="18"/>
          <w:rtl/>
        </w:rPr>
        <w:t>البقرة: 7]. وفي هذا دلالة واضحة على انسجام المادة القرآنية</w:t>
      </w:r>
      <w:r w:rsidRPr="00A02C06">
        <w:rPr>
          <w:rFonts w:ascii="Simplified Arabic" w:hAnsi="Simplified Arabic" w:cs="AL-Hotham"/>
          <w:b/>
          <w:bCs/>
          <w:spacing w:val="-4"/>
          <w:sz w:val="18"/>
          <w:szCs w:val="18"/>
          <w:rtl/>
          <w:lang w:bidi="ar-EG"/>
        </w:rPr>
        <w:t xml:space="preserve"> </w:t>
      </w:r>
      <w:r w:rsidRPr="00A02C06">
        <w:rPr>
          <w:rFonts w:ascii="Simplified Arabic" w:hAnsi="Simplified Arabic" w:cs="AL-Hotham"/>
          <w:b/>
          <w:bCs/>
          <w:spacing w:val="-4"/>
          <w:sz w:val="18"/>
          <w:szCs w:val="18"/>
          <w:rtl/>
        </w:rPr>
        <w:t>وتكاملها في ذهن</w:t>
      </w:r>
      <w:r w:rsidRPr="00A02C06">
        <w:rPr>
          <w:rFonts w:ascii="Simplified Arabic" w:hAnsi="Simplified Arabic" w:cs="AL-Hotham"/>
          <w:b/>
          <w:bCs/>
          <w:spacing w:val="-4"/>
          <w:sz w:val="18"/>
          <w:szCs w:val="18"/>
          <w:rtl/>
          <w:lang w:bidi="ar-EG"/>
        </w:rPr>
        <w:t xml:space="preserve"> </w:t>
      </w:r>
      <w:r w:rsidRPr="00A02C06">
        <w:rPr>
          <w:rFonts w:ascii="Simplified Arabic" w:hAnsi="Simplified Arabic" w:cs="AL-Hotham"/>
          <w:b/>
          <w:bCs/>
          <w:spacing w:val="-4"/>
          <w:sz w:val="18"/>
          <w:szCs w:val="18"/>
          <w:rtl/>
        </w:rPr>
        <w:t>أبي زكريا الفراء، ودلالة أيضًا على انصرافه إلى القرآن</w:t>
      </w:r>
      <w:r w:rsidRPr="00A02C06">
        <w:rPr>
          <w:rFonts w:ascii="Simplified Arabic" w:hAnsi="Simplified Arabic" w:cs="AL-Hotham"/>
          <w:b/>
          <w:bCs/>
          <w:spacing w:val="-4"/>
          <w:sz w:val="18"/>
          <w:szCs w:val="18"/>
          <w:rtl/>
          <w:lang w:bidi="ar-EG"/>
        </w:rPr>
        <w:t xml:space="preserve"> </w:t>
      </w:r>
      <w:r w:rsidRPr="00A02C06">
        <w:rPr>
          <w:rFonts w:ascii="Simplified Arabic" w:hAnsi="Simplified Arabic" w:cs="AL-Hotham"/>
          <w:b/>
          <w:bCs/>
          <w:spacing w:val="-4"/>
          <w:sz w:val="18"/>
          <w:szCs w:val="18"/>
          <w:rtl/>
        </w:rPr>
        <w:t>أولًا في بناء أصوله النحوية</w:t>
      </w:r>
      <w:r w:rsidRPr="00A02C06">
        <w:rPr>
          <w:rFonts w:ascii="Simplified Arabic" w:hAnsi="Simplified Arabic" w:cs="AL-Hotham"/>
          <w:b/>
          <w:bCs/>
          <w:spacing w:val="-4"/>
          <w:sz w:val="18"/>
          <w:szCs w:val="18"/>
          <w:rtl/>
          <w:lang w:bidi="ar-EG"/>
        </w:rPr>
        <w:t>.</w:t>
      </w:r>
    </w:p>
    <w:p w:rsidR="00A02C06" w:rsidRPr="00A02C06" w:rsidRDefault="00A02C06" w:rsidP="00A02C06">
      <w:pPr>
        <w:pStyle w:val="NormalWeb"/>
        <w:bidi/>
        <w:spacing w:before="0" w:beforeAutospacing="0" w:after="120" w:afterAutospacing="0"/>
        <w:jc w:val="lowKashida"/>
        <w:rPr>
          <w:rFonts w:ascii="Simplified Arabic" w:hAnsi="Simplified Arabic" w:cs="AL-Hotham"/>
          <w:b/>
          <w:bCs/>
          <w:sz w:val="18"/>
          <w:szCs w:val="18"/>
          <w:lang w:bidi="ar-EG"/>
        </w:rPr>
      </w:pPr>
      <w:r w:rsidRPr="00A02C06">
        <w:rPr>
          <w:rFonts w:ascii="Simplified Arabic" w:hAnsi="Simplified Arabic" w:cs="AL-Hotham"/>
          <w:b/>
          <w:bCs/>
          <w:sz w:val="18"/>
          <w:szCs w:val="18"/>
          <w:rtl/>
        </w:rPr>
        <w:t>لقد بدا يحيى بن زياد الفراء في تناوله لهذه الآثار واثقًا، واضح الأسلوب،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</w:rPr>
        <w:t>منطقي</w:t>
      </w:r>
      <w:r w:rsidRPr="00A02C06">
        <w:rPr>
          <w:rFonts w:ascii="Simplified Arabic" w:hAnsi="Simplified Arabic" w:cs="AL-Hotham" w:hint="cs"/>
          <w:b/>
          <w:bCs/>
          <w:sz w:val="18"/>
          <w:szCs w:val="18"/>
          <w:rtl/>
        </w:rPr>
        <w:t>ًّ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</w:rPr>
        <w:t>ا في عرض القضايا، وترتيب المسائل. كان يثبت القراءة، ثم يدير عليها الشرح، ثم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</w:rPr>
        <w:t>يعقبها بالحجة اللغوية المناسبة،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</w:rPr>
        <w:t>وقلما وجدناه يعاضل في المناقشة بحيث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</w:rPr>
        <w:t>تتداخل لديه الحجج والأقيسة، وكانت الوجوه النحوية المبسوطة في القراءات واضحة، قليلة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</w:rPr>
        <w:t>لا تتجاوز الوجهين في أغلب الأحيان، على نحو حمله نصب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"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</w:rPr>
        <w:t>صمًا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" 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</w:rPr>
        <w:t>من قراءة ابن مسعود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: "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</w:rPr>
        <w:t>وتركهم في ظلمات لا يبصرون</w:t>
      </w:r>
      <w:r w:rsidRPr="00A02C06">
        <w:rPr>
          <w:rFonts w:ascii="Simplified Arabic" w:hAnsi="Simplified Arabic" w:cs="AL-Hotham" w:hint="cs"/>
          <w:b/>
          <w:bCs/>
          <w:sz w:val="18"/>
          <w:szCs w:val="18"/>
          <w:rtl/>
        </w:rPr>
        <w:t xml:space="preserve"> *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</w:rPr>
        <w:t xml:space="preserve"> صما بكمًا عميا فهم لا يرجعون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" 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</w:rPr>
        <w:t>على الحال من الهاء في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"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</w:rPr>
        <w:t>وتركهم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"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</w:rPr>
        <w:t>، وعلى الذم بحذف الفعل، وهذا طبيعي لدى نحوي مؤسس، يبغي توطيد أصول النحو في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</w:rPr>
        <w:t>الكوفة دون الانتصار للقراءات الشاذة التي يفترض كثرة الوجوه، كما هو الأمر عند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</w:rPr>
        <w:t>المستقلين بهذا الشأن، الوارثين آراء المتقدمين، واختلافاتهم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.</w:t>
      </w:r>
    </w:p>
    <w:p w:rsidR="00A02C06" w:rsidRPr="00A02C06" w:rsidRDefault="00A02C06" w:rsidP="00A02C06">
      <w:pPr>
        <w:pStyle w:val="NormalWeb"/>
        <w:bidi/>
        <w:spacing w:before="0" w:beforeAutospacing="0" w:after="120" w:afterAutospacing="0"/>
        <w:jc w:val="lowKashida"/>
        <w:rPr>
          <w:rFonts w:ascii="Simplified Arabic" w:hAnsi="Simplified Arabic" w:cs="AL-Hotham" w:hint="cs"/>
          <w:b/>
          <w:bCs/>
          <w:sz w:val="18"/>
          <w:szCs w:val="18"/>
          <w:rtl/>
          <w:lang w:bidi="ar-EG"/>
        </w:rPr>
      </w:pPr>
      <w:r w:rsidRPr="00A02C06">
        <w:rPr>
          <w:rFonts w:ascii="Simplified Arabic" w:hAnsi="Simplified Arabic" w:cs="AL-Hotham"/>
          <w:b/>
          <w:bCs/>
          <w:sz w:val="18"/>
          <w:szCs w:val="18"/>
          <w:rtl/>
        </w:rPr>
        <w:t>لقد كان الفراء وفيًا عمومًا لهذه الآثار يحسن الظن بها، ويحتج لها، ويكشف عن وجوهها،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</w:rPr>
        <w:t>ويتعصب لها أحيانًا، وقد أثبت بها حروفًا وقراءات نادرة،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</w:rPr>
        <w:t>ووجوهًا محتملة بعض القواعد النحوية الجديدة</w:t>
      </w:r>
      <w:r w:rsidRPr="00A02C0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.</w:t>
      </w:r>
    </w:p>
    <w:p w:rsidR="00A02C06" w:rsidRPr="00A02C06" w:rsidRDefault="00A02C06" w:rsidP="00A02C06">
      <w:pPr>
        <w:jc w:val="lowKashida"/>
        <w:rPr>
          <w:rFonts w:asciiTheme="majorBidi" w:hAnsiTheme="majorBidi" w:cstheme="majorBidi" w:hint="cs"/>
          <w:b/>
          <w:bCs/>
          <w:sz w:val="18"/>
          <w:szCs w:val="18"/>
        </w:rPr>
      </w:pPr>
      <w:r w:rsidRPr="00A02C06">
        <w:rPr>
          <w:rFonts w:asciiTheme="majorBidi" w:hAnsiTheme="majorBidi" w:cstheme="majorBidi" w:hint="cs"/>
          <w:b/>
          <w:bCs/>
          <w:sz w:val="18"/>
          <w:szCs w:val="18"/>
          <w:rtl/>
        </w:rPr>
        <w:t>المراجع والمصادر</w:t>
      </w:r>
    </w:p>
    <w:p w:rsidR="00A02C06" w:rsidRPr="00A02C06" w:rsidRDefault="00A02C06" w:rsidP="00A02C06">
      <w:pPr>
        <w:numPr>
          <w:ilvl w:val="0"/>
          <w:numId w:val="1"/>
        </w:numPr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A02C06">
        <w:rPr>
          <w:rFonts w:asciiTheme="majorBidi" w:hAnsiTheme="majorBidi" w:cstheme="majorBidi"/>
          <w:b/>
          <w:bCs/>
          <w:sz w:val="18"/>
          <w:szCs w:val="18"/>
          <w:rtl/>
        </w:rPr>
        <w:t xml:space="preserve">(المحتسب في تبيين وجوه شواذ القراءات والإيضاح عنها) </w:t>
      </w:r>
    </w:p>
    <w:p w:rsidR="00A02C06" w:rsidRPr="00A02C06" w:rsidRDefault="00A02C06" w:rsidP="00A02C06">
      <w:pPr>
        <w:ind w:left="463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A02C06">
        <w:rPr>
          <w:rFonts w:asciiTheme="majorBidi" w:hAnsiTheme="majorBidi" w:cstheme="majorBidi"/>
          <w:b/>
          <w:bCs/>
          <w:sz w:val="18"/>
          <w:szCs w:val="18"/>
          <w:rtl/>
        </w:rPr>
        <w:t>أبو الفتح عثمان بن جني،  بتحقيق علي النجدي ناصف وزميليه، القاهرة، طبعة المجلس الأعلى للشئون الإسلامية، 1994م</w:t>
      </w:r>
    </w:p>
    <w:p w:rsidR="00A02C06" w:rsidRPr="00A02C06" w:rsidRDefault="00A02C06" w:rsidP="00A02C06">
      <w:pPr>
        <w:numPr>
          <w:ilvl w:val="0"/>
          <w:numId w:val="1"/>
        </w:numPr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A02C06">
        <w:rPr>
          <w:rFonts w:asciiTheme="majorBidi" w:hAnsiTheme="majorBidi" w:cstheme="majorBidi"/>
          <w:b/>
          <w:bCs/>
          <w:sz w:val="18"/>
          <w:szCs w:val="18"/>
          <w:rtl/>
        </w:rPr>
        <w:t xml:space="preserve">(مرشد الأعزة في بيان موقف العلماء من القراءات الشاذة) </w:t>
      </w:r>
    </w:p>
    <w:p w:rsidR="00A02C06" w:rsidRPr="00A02C06" w:rsidRDefault="00A02C06" w:rsidP="00A02C06">
      <w:pPr>
        <w:ind w:left="284" w:firstLine="283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A02C06">
        <w:rPr>
          <w:rFonts w:asciiTheme="majorBidi" w:hAnsiTheme="majorBidi" w:cstheme="majorBidi"/>
          <w:b/>
          <w:bCs/>
          <w:sz w:val="18"/>
          <w:szCs w:val="18"/>
          <w:rtl/>
        </w:rPr>
        <w:t>عبد الكريم إبراهيم صالح،  دار المحدثين, 2006م</w:t>
      </w:r>
    </w:p>
    <w:p w:rsidR="00A02C06" w:rsidRPr="00A02C06" w:rsidRDefault="00A02C06" w:rsidP="00A02C06">
      <w:pPr>
        <w:numPr>
          <w:ilvl w:val="0"/>
          <w:numId w:val="1"/>
        </w:numPr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A02C06">
        <w:rPr>
          <w:rFonts w:asciiTheme="majorBidi" w:hAnsiTheme="majorBidi" w:cstheme="majorBidi"/>
          <w:b/>
          <w:bCs/>
          <w:sz w:val="18"/>
          <w:szCs w:val="18"/>
        </w:rPr>
        <w:t>)</w:t>
      </w:r>
      <w:r w:rsidRPr="00A02C06">
        <w:rPr>
          <w:rFonts w:asciiTheme="majorBidi" w:hAnsiTheme="majorBidi" w:cstheme="majorBidi"/>
          <w:b/>
          <w:bCs/>
          <w:sz w:val="18"/>
          <w:szCs w:val="18"/>
          <w:rtl/>
        </w:rPr>
        <w:t xml:space="preserve">إعراب القراءات الشواذ) </w:t>
      </w:r>
    </w:p>
    <w:p w:rsidR="00A02C06" w:rsidRPr="00A02C06" w:rsidRDefault="00A02C06" w:rsidP="00A02C06">
      <w:pPr>
        <w:ind w:left="567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A02C06">
        <w:rPr>
          <w:rFonts w:asciiTheme="majorBidi" w:hAnsiTheme="majorBidi" w:cstheme="majorBidi"/>
          <w:b/>
          <w:bCs/>
          <w:sz w:val="18"/>
          <w:szCs w:val="18"/>
          <w:rtl/>
        </w:rPr>
        <w:t>أبو البقاء العكبري،  بتحقيق محمد السيد أحمد عزوز،  عالم الكتب, 1996م</w:t>
      </w:r>
    </w:p>
    <w:p w:rsidR="00A02C06" w:rsidRPr="00A02C06" w:rsidRDefault="00A02C06" w:rsidP="00A02C06">
      <w:pPr>
        <w:numPr>
          <w:ilvl w:val="0"/>
          <w:numId w:val="1"/>
        </w:numPr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A02C06">
        <w:rPr>
          <w:rFonts w:asciiTheme="majorBidi" w:hAnsiTheme="majorBidi" w:cstheme="majorBidi"/>
          <w:b/>
          <w:bCs/>
          <w:sz w:val="18"/>
          <w:szCs w:val="18"/>
          <w:rtl/>
        </w:rPr>
        <w:t xml:space="preserve">(الاختلاف بين القراءات) </w:t>
      </w:r>
    </w:p>
    <w:p w:rsidR="00A02C06" w:rsidRPr="00A02C06" w:rsidRDefault="00A02C06" w:rsidP="00A02C06">
      <w:pPr>
        <w:ind w:left="284" w:firstLine="283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A02C06">
        <w:rPr>
          <w:rFonts w:asciiTheme="majorBidi" w:hAnsiTheme="majorBidi" w:cstheme="majorBidi"/>
          <w:b/>
          <w:bCs/>
          <w:sz w:val="18"/>
          <w:szCs w:val="18"/>
          <w:rtl/>
        </w:rPr>
        <w:t>أحمد البيلي،  بيروت، دار الجبل، 1988م</w:t>
      </w:r>
    </w:p>
    <w:p w:rsidR="00A02C06" w:rsidRPr="00A02C06" w:rsidRDefault="00A02C06" w:rsidP="00A02C06">
      <w:pPr>
        <w:numPr>
          <w:ilvl w:val="0"/>
          <w:numId w:val="1"/>
        </w:numPr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A02C06">
        <w:rPr>
          <w:rFonts w:asciiTheme="majorBidi" w:hAnsiTheme="majorBidi" w:cstheme="majorBidi"/>
          <w:b/>
          <w:bCs/>
          <w:sz w:val="18"/>
          <w:szCs w:val="18"/>
          <w:rtl/>
        </w:rPr>
        <w:t xml:space="preserve">(القراءات الشاذة وتوجيهها النحوي) </w:t>
      </w:r>
    </w:p>
    <w:p w:rsidR="00A02C06" w:rsidRPr="00A02C06" w:rsidRDefault="00A02C06" w:rsidP="00A02C06">
      <w:pPr>
        <w:ind w:left="284" w:firstLine="283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A02C06">
        <w:rPr>
          <w:rFonts w:asciiTheme="majorBidi" w:hAnsiTheme="majorBidi" w:cstheme="majorBidi"/>
          <w:b/>
          <w:bCs/>
          <w:sz w:val="18"/>
          <w:szCs w:val="18"/>
          <w:rtl/>
        </w:rPr>
        <w:t>محمود أحمد الصغير، بيروت، دار الفكر المعاصر, 1999م</w:t>
      </w:r>
    </w:p>
    <w:p w:rsidR="00A02C06" w:rsidRPr="00A02C06" w:rsidRDefault="00A02C06" w:rsidP="00A02C06">
      <w:pPr>
        <w:numPr>
          <w:ilvl w:val="0"/>
          <w:numId w:val="1"/>
        </w:numPr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A02C06">
        <w:rPr>
          <w:rFonts w:asciiTheme="majorBidi" w:hAnsiTheme="majorBidi" w:cstheme="majorBidi"/>
          <w:b/>
          <w:bCs/>
          <w:sz w:val="18"/>
          <w:szCs w:val="18"/>
          <w:rtl/>
        </w:rPr>
        <w:lastRenderedPageBreak/>
        <w:t xml:space="preserve">(كتاب المصاحف) </w:t>
      </w:r>
    </w:p>
    <w:p w:rsidR="00A02C06" w:rsidRPr="00A02C06" w:rsidRDefault="00A02C06" w:rsidP="00A02C06">
      <w:pPr>
        <w:ind w:left="567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A02C06">
        <w:rPr>
          <w:rFonts w:asciiTheme="majorBidi" w:hAnsiTheme="majorBidi" w:cstheme="majorBidi"/>
          <w:b/>
          <w:bCs/>
          <w:sz w:val="18"/>
          <w:szCs w:val="18"/>
          <w:rtl/>
        </w:rPr>
        <w:t>أبو بكر عبد الله بن أبي داود سليمان بن الأشعث السجستاني، بيروت، دار الكتب العلمية, 1985م</w:t>
      </w:r>
    </w:p>
    <w:p w:rsidR="00A02C06" w:rsidRPr="00A02C06" w:rsidRDefault="00A02C06" w:rsidP="00A02C06">
      <w:pPr>
        <w:numPr>
          <w:ilvl w:val="0"/>
          <w:numId w:val="1"/>
        </w:numPr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A02C06">
        <w:rPr>
          <w:rFonts w:asciiTheme="majorBidi" w:hAnsiTheme="majorBidi" w:cstheme="majorBidi"/>
          <w:b/>
          <w:bCs/>
          <w:sz w:val="18"/>
          <w:szCs w:val="18"/>
          <w:rtl/>
        </w:rPr>
        <w:t xml:space="preserve">(مختصر في شواذ القران من كتاب البديع أو القراءات الشاذة) </w:t>
      </w:r>
    </w:p>
    <w:p w:rsidR="00A02C06" w:rsidRPr="00A02C06" w:rsidRDefault="00A02C06" w:rsidP="00A02C06">
      <w:pPr>
        <w:ind w:left="284" w:firstLine="283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A02C06">
        <w:rPr>
          <w:rFonts w:asciiTheme="majorBidi" w:hAnsiTheme="majorBidi" w:cstheme="majorBidi"/>
          <w:b/>
          <w:bCs/>
          <w:sz w:val="18"/>
          <w:szCs w:val="18"/>
          <w:rtl/>
        </w:rPr>
        <w:t>الحسين بن احمد ابن خالويه، دار الهجرة،  1934م</w:t>
      </w:r>
    </w:p>
    <w:p w:rsidR="00A02C06" w:rsidRPr="00A02C06" w:rsidRDefault="00A02C06" w:rsidP="00A02C06">
      <w:pPr>
        <w:numPr>
          <w:ilvl w:val="0"/>
          <w:numId w:val="1"/>
        </w:numPr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A02C06">
        <w:rPr>
          <w:rFonts w:asciiTheme="majorBidi" w:hAnsiTheme="majorBidi" w:cstheme="majorBidi"/>
          <w:b/>
          <w:bCs/>
          <w:sz w:val="18"/>
          <w:szCs w:val="18"/>
          <w:rtl/>
        </w:rPr>
        <w:t xml:space="preserve">(القراءات القرآنية في بلاد الشام) </w:t>
      </w:r>
    </w:p>
    <w:p w:rsidR="00A02C06" w:rsidRPr="00A02C06" w:rsidRDefault="00A02C06" w:rsidP="00A02C06">
      <w:pPr>
        <w:ind w:left="284" w:firstLine="283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A02C06">
        <w:rPr>
          <w:rFonts w:asciiTheme="majorBidi" w:hAnsiTheme="majorBidi" w:cstheme="majorBidi"/>
          <w:b/>
          <w:bCs/>
          <w:sz w:val="18"/>
          <w:szCs w:val="18"/>
          <w:rtl/>
        </w:rPr>
        <w:t>حسين عطوان، بيروت، دار الجيل, 1982م</w:t>
      </w:r>
    </w:p>
    <w:p w:rsidR="00A02C06" w:rsidRPr="00A02C06" w:rsidRDefault="00A02C06" w:rsidP="00A02C06">
      <w:pPr>
        <w:numPr>
          <w:ilvl w:val="0"/>
          <w:numId w:val="1"/>
        </w:numPr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A02C06">
        <w:rPr>
          <w:rFonts w:asciiTheme="majorBidi" w:hAnsiTheme="majorBidi" w:cstheme="majorBidi"/>
          <w:b/>
          <w:bCs/>
          <w:sz w:val="18"/>
          <w:szCs w:val="18"/>
          <w:rtl/>
        </w:rPr>
        <w:t xml:space="preserve">(القراءات الشاذة وتوجيهها من لغة العرب) </w:t>
      </w:r>
    </w:p>
    <w:p w:rsidR="00A02C06" w:rsidRPr="00A02C06" w:rsidRDefault="00A02C06" w:rsidP="00A02C06">
      <w:pPr>
        <w:ind w:left="284" w:firstLine="283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A02C06">
        <w:rPr>
          <w:rFonts w:asciiTheme="majorBidi" w:hAnsiTheme="majorBidi" w:cstheme="majorBidi"/>
          <w:b/>
          <w:bCs/>
          <w:sz w:val="18"/>
          <w:szCs w:val="18"/>
          <w:rtl/>
        </w:rPr>
        <w:t>عبد الفتاح القاضي، الهيئة العامة لشئون المطابع الأميرية، 1975م</w:t>
      </w:r>
    </w:p>
    <w:p w:rsidR="00A02C06" w:rsidRPr="00A02C06" w:rsidRDefault="00A02C06" w:rsidP="00A02C06">
      <w:pPr>
        <w:numPr>
          <w:ilvl w:val="0"/>
          <w:numId w:val="1"/>
        </w:numPr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A02C06">
        <w:rPr>
          <w:rFonts w:asciiTheme="majorBidi" w:hAnsiTheme="majorBidi" w:cstheme="majorBidi"/>
          <w:b/>
          <w:bCs/>
          <w:sz w:val="18"/>
          <w:szCs w:val="18"/>
          <w:rtl/>
        </w:rPr>
        <w:t xml:space="preserve">(اليزيدي القارئ النحوي دراسة نحوية قرآنية) </w:t>
      </w:r>
    </w:p>
    <w:p w:rsidR="00A02C06" w:rsidRPr="00A02C06" w:rsidRDefault="00A02C06" w:rsidP="00A02C06">
      <w:pPr>
        <w:ind w:left="284" w:firstLine="283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A02C06">
        <w:rPr>
          <w:rFonts w:asciiTheme="majorBidi" w:hAnsiTheme="majorBidi" w:cstheme="majorBidi"/>
          <w:b/>
          <w:bCs/>
          <w:sz w:val="18"/>
          <w:szCs w:val="18"/>
          <w:rtl/>
        </w:rPr>
        <w:t>محمد أحمد علي سحلول ،  دار الحسين الإسلامية, 1989م.</w:t>
      </w:r>
    </w:p>
    <w:p w:rsidR="00A02C06" w:rsidRPr="00A02C06" w:rsidRDefault="00A02C06" w:rsidP="00A02C06">
      <w:pPr>
        <w:numPr>
          <w:ilvl w:val="0"/>
          <w:numId w:val="1"/>
        </w:numPr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A02C06">
        <w:rPr>
          <w:rFonts w:asciiTheme="majorBidi" w:hAnsiTheme="majorBidi" w:cstheme="majorBidi"/>
          <w:b/>
          <w:bCs/>
          <w:sz w:val="18"/>
          <w:szCs w:val="18"/>
          <w:rtl/>
        </w:rPr>
        <w:t xml:space="preserve">(شواهد القراءات بين ابن هشام وابن عقيل، دراسة نحوية تحليلية) </w:t>
      </w:r>
    </w:p>
    <w:p w:rsidR="00A02C06" w:rsidRPr="00A02C06" w:rsidRDefault="00A02C06" w:rsidP="00A02C06">
      <w:pPr>
        <w:ind w:left="284" w:firstLine="436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A02C06">
        <w:rPr>
          <w:rFonts w:asciiTheme="majorBidi" w:hAnsiTheme="majorBidi" w:cstheme="majorBidi"/>
          <w:b/>
          <w:bCs/>
          <w:sz w:val="18"/>
          <w:szCs w:val="18"/>
          <w:rtl/>
        </w:rPr>
        <w:t>محمد أحمد علي سحلول،  دار الطباعة المحمدية, 1993م</w:t>
      </w:r>
    </w:p>
    <w:p w:rsidR="00A02C06" w:rsidRPr="00A02C06" w:rsidRDefault="00A02C06" w:rsidP="00A02C06">
      <w:pPr>
        <w:numPr>
          <w:ilvl w:val="0"/>
          <w:numId w:val="1"/>
        </w:numPr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A02C06">
        <w:rPr>
          <w:rFonts w:asciiTheme="majorBidi" w:hAnsiTheme="majorBidi" w:cstheme="majorBidi"/>
          <w:b/>
          <w:bCs/>
          <w:sz w:val="18"/>
          <w:szCs w:val="18"/>
          <w:rtl/>
        </w:rPr>
        <w:t xml:space="preserve">(قراءة أبي السمال العدوي) </w:t>
      </w:r>
    </w:p>
    <w:p w:rsidR="00A02C06" w:rsidRPr="00A02C06" w:rsidRDefault="00A02C06" w:rsidP="00A02C06">
      <w:pPr>
        <w:ind w:left="284" w:firstLine="436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A02C06">
        <w:rPr>
          <w:rFonts w:asciiTheme="majorBidi" w:hAnsiTheme="majorBidi" w:cstheme="majorBidi"/>
          <w:b/>
          <w:bCs/>
          <w:sz w:val="18"/>
          <w:szCs w:val="18"/>
          <w:rtl/>
        </w:rPr>
        <w:t>حمدي عبد الفتاح مصطفى خليل، الجريس، القاهرة, 2000م</w:t>
      </w:r>
    </w:p>
    <w:p w:rsidR="00A02C06" w:rsidRPr="00A02C06" w:rsidRDefault="00A02C06" w:rsidP="00A02C06">
      <w:pPr>
        <w:numPr>
          <w:ilvl w:val="0"/>
          <w:numId w:val="1"/>
        </w:numPr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A02C06">
        <w:rPr>
          <w:rFonts w:asciiTheme="majorBidi" w:hAnsiTheme="majorBidi" w:cstheme="majorBidi"/>
          <w:b/>
          <w:bCs/>
          <w:sz w:val="18"/>
          <w:szCs w:val="18"/>
          <w:rtl/>
        </w:rPr>
        <w:t xml:space="preserve">(قراءة عبد الله بن مسعود مكانتها ومصادرها إحصاؤها) </w:t>
      </w:r>
    </w:p>
    <w:p w:rsidR="00A02C06" w:rsidRPr="00A02C06" w:rsidRDefault="00A02C06" w:rsidP="00A02C06">
      <w:pPr>
        <w:pStyle w:val="NormalWeb"/>
        <w:bidi/>
        <w:spacing w:before="0" w:beforeAutospacing="0" w:after="0" w:afterAutospacing="0"/>
        <w:ind w:left="284" w:firstLine="436"/>
        <w:jc w:val="both"/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</w:pPr>
      <w:r w:rsidRPr="00A02C06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محمد أحمد خاطر، دار الاعتصام, 1990م</w:t>
      </w:r>
    </w:p>
    <w:p w:rsidR="00A02C06" w:rsidRPr="00A02C06" w:rsidRDefault="00A02C06" w:rsidP="00A02C06">
      <w:pPr>
        <w:rPr>
          <w:rFonts w:hint="cs"/>
          <w:b/>
          <w:bCs/>
          <w:sz w:val="18"/>
          <w:szCs w:val="18"/>
        </w:rPr>
      </w:pPr>
    </w:p>
    <w:p w:rsidR="00A02C06" w:rsidRPr="00A02C06" w:rsidRDefault="00A02C06" w:rsidP="00A02C06">
      <w:pPr>
        <w:jc w:val="center"/>
        <w:rPr>
          <w:rFonts w:asciiTheme="majorBidi" w:eastAsia="Calibri" w:hAnsiTheme="majorBidi" w:cstheme="majorBidi"/>
          <w:b/>
          <w:bCs/>
          <w:sz w:val="18"/>
          <w:szCs w:val="18"/>
        </w:rPr>
      </w:pPr>
    </w:p>
    <w:p w:rsidR="004219C3" w:rsidRPr="00A02C06" w:rsidRDefault="004219C3" w:rsidP="00A02C06">
      <w:pPr>
        <w:jc w:val="center"/>
        <w:rPr>
          <w:rFonts w:asciiTheme="majorBidi" w:eastAsia="Calibri" w:hAnsiTheme="majorBidi" w:cstheme="majorBidi"/>
          <w:b/>
          <w:bCs/>
          <w:sz w:val="18"/>
          <w:szCs w:val="18"/>
        </w:rPr>
      </w:pPr>
    </w:p>
    <w:sectPr w:rsidR="004219C3" w:rsidRPr="00A02C06" w:rsidSect="00A02C06">
      <w:type w:val="continuous"/>
      <w:pgSz w:w="11906" w:h="16838"/>
      <w:pgMar w:top="1440" w:right="1800" w:bottom="1440" w:left="1800" w:header="708" w:footer="708" w:gutter="0"/>
      <w:cols w:num="2"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L-Hotha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DecoType Thuluth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QCF_P229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450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AGA Furat Regul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QCF_P018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16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28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01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AGA Arabesque">
    <w:altName w:val="Symbol"/>
    <w:charset w:val="02"/>
    <w:family w:val="auto"/>
    <w:pitch w:val="variable"/>
    <w:sig w:usb0="00000000" w:usb1="10000000" w:usb2="00000000" w:usb3="00000000" w:csb0="80000000" w:csb1="00000000"/>
  </w:font>
  <w:font w:name="QCF_P003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A128C"/>
    <w:multiLevelType w:val="hybridMultilevel"/>
    <w:tmpl w:val="5F7ECD24"/>
    <w:lvl w:ilvl="0" w:tplc="DDAE06A2">
      <w:start w:val="1"/>
      <w:numFmt w:val="bullet"/>
      <w:lvlText w:val=""/>
      <w:lvlJc w:val="center"/>
      <w:pPr>
        <w:ind w:left="15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1">
    <w:nsid w:val="456E4553"/>
    <w:multiLevelType w:val="hybridMultilevel"/>
    <w:tmpl w:val="6E0A04EA"/>
    <w:lvl w:ilvl="0" w:tplc="1BB2DDB4">
      <w:start w:val="1"/>
      <w:numFmt w:val="bullet"/>
      <w:lvlText w:val=""/>
      <w:lvlJc w:val="center"/>
      <w:pPr>
        <w:ind w:left="1723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2">
    <w:nsid w:val="54AF07C7"/>
    <w:multiLevelType w:val="hybridMultilevel"/>
    <w:tmpl w:val="3DB6F57A"/>
    <w:lvl w:ilvl="0" w:tplc="ED52165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02C06"/>
    <w:rsid w:val="001A2769"/>
    <w:rsid w:val="004168A0"/>
    <w:rsid w:val="004219C3"/>
    <w:rsid w:val="004A286F"/>
    <w:rsid w:val="00A02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C0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02C0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A02C06"/>
    <w:pPr>
      <w:bidi w:val="0"/>
      <w:spacing w:before="100" w:beforeAutospacing="1" w:after="100" w:afterAutospacing="1"/>
    </w:pPr>
    <w:rPr>
      <w:lang w:bidi="ar-SA"/>
    </w:rPr>
  </w:style>
  <w:style w:type="character" w:styleId="Hyperlink">
    <w:name w:val="Hyperlink"/>
    <w:basedOn w:val="DefaultParagraphFont"/>
    <w:uiPriority w:val="99"/>
    <w:unhideWhenUsed/>
    <w:rsid w:val="00A02C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hmedmsamir5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1696</Words>
  <Characters>9672</Characters>
  <Application>Microsoft Office Word</Application>
  <DocSecurity>0</DocSecurity>
  <Lines>80</Lines>
  <Paragraphs>22</Paragraphs>
  <ScaleCrop>false</ScaleCrop>
  <Company>Fannan</Company>
  <LinksUpToDate>false</LinksUpToDate>
  <CharactersWithSpaces>11346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Fannan NewLook V5</dc:creator>
  <cp:keywords/>
  <dc:description/>
  <cp:lastModifiedBy>Fannan NewLook V5</cp:lastModifiedBy>
  <cp:revision>1</cp:revision>
  <dcterms:created xsi:type="dcterms:W3CDTF">2013-06-16T14:48:00Z</dcterms:created>
  <dcterms:modified xsi:type="dcterms:W3CDTF">2013-06-16T14:54:00Z</dcterms:modified>
</cp:coreProperties>
</file>