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28" w:rsidRDefault="00782128" w:rsidP="00782128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782128"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  <w:t>ابن قتيبة وثعلب</w:t>
      </w:r>
    </w:p>
    <w:p w:rsidR="00782128" w:rsidRDefault="00782128" w:rsidP="00782128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782128" w:rsidRPr="00F7753E" w:rsidRDefault="00782128" w:rsidP="00782128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782128" w:rsidRPr="00F7753E" w:rsidRDefault="00782128" w:rsidP="00782128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782128" w:rsidRPr="00F7753E" w:rsidRDefault="00782128" w:rsidP="00782128">
      <w:pPr>
        <w:jc w:val="center"/>
        <w:rPr>
          <w:rFonts w:asciiTheme="majorBidi" w:eastAsia="Calibri" w:hAnsiTheme="majorBidi" w:cstheme="majorBidi"/>
          <w:sz w:val="18"/>
          <w:szCs w:val="18"/>
          <w:rtl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</w:rPr>
        <w:t>القراءات الشاذه</w:t>
      </w:r>
    </w:p>
    <w:p w:rsidR="00782128" w:rsidRPr="00426F7E" w:rsidRDefault="00782128" w:rsidP="00782128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782128" w:rsidRPr="00426F7E" w:rsidRDefault="00782128" w:rsidP="00782128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782128" w:rsidRPr="00426F7E" w:rsidRDefault="00782128" w:rsidP="00782128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782128" w:rsidRPr="00426F7E" w:rsidRDefault="00782128" w:rsidP="00782128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782128" w:rsidRDefault="00782128" w:rsidP="00782128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hyperlink r:id="rId5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</w:rPr>
          <w:t>Ahmedmsamir54@gmail.com</w:t>
        </w:r>
      </w:hyperlink>
    </w:p>
    <w:p w:rsidR="00782128" w:rsidRPr="00426F7E" w:rsidRDefault="00782128" w:rsidP="00782128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782128" w:rsidRDefault="00782128" w:rsidP="00782128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782128" w:rsidSect="00782128">
          <w:pgSz w:w="11906" w:h="16838"/>
          <w:pgMar w:top="1440" w:right="991" w:bottom="709" w:left="1800" w:header="708" w:footer="708" w:gutter="0"/>
          <w:cols w:space="708"/>
          <w:bidi/>
          <w:rtlGutter/>
          <w:docGrid w:linePitch="360"/>
        </w:sectPr>
      </w:pPr>
    </w:p>
    <w:p w:rsidR="00782128" w:rsidRPr="00782128" w:rsidRDefault="00782128" w:rsidP="00782128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782128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ابن قتيبة وثعلب</w:t>
      </w:r>
    </w:p>
    <w:p w:rsidR="00782128" w:rsidRPr="00782128" w:rsidRDefault="00782128" w:rsidP="00782128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782128" w:rsidRPr="00782128" w:rsidRDefault="00782128" w:rsidP="00782128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782128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782128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ثعلب، مسلم، سبعين</w:t>
      </w:r>
    </w:p>
    <w:p w:rsidR="00782128" w:rsidRPr="00782128" w:rsidRDefault="00782128" w:rsidP="00782128">
      <w:pPr>
        <w:numPr>
          <w:ilvl w:val="0"/>
          <w:numId w:val="2"/>
        </w:numPr>
        <w:spacing w:after="200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782128" w:rsidRPr="00782128" w:rsidRDefault="00782128" w:rsidP="00782128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782128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ابن قتيبة وثعلب</w:t>
      </w:r>
    </w:p>
    <w:p w:rsidR="00782128" w:rsidRPr="00782128" w:rsidRDefault="00782128" w:rsidP="00782128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782128" w:rsidRPr="00782128" w:rsidRDefault="00782128" w:rsidP="00782128">
      <w:pPr>
        <w:numPr>
          <w:ilvl w:val="0"/>
          <w:numId w:val="3"/>
        </w:numPr>
        <w:spacing w:after="200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782128" w:rsidRPr="00782128" w:rsidRDefault="00782128" w:rsidP="00782128">
      <w:pPr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</w:p>
    <w:p w:rsidR="00782128" w:rsidRPr="00782128" w:rsidRDefault="00782128" w:rsidP="00782128">
      <w:pPr>
        <w:pStyle w:val="NormalWeb"/>
        <w:bidi/>
        <w:spacing w:before="0" w:before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lang w:bidi="ar-EG"/>
        </w:rPr>
      </w:pP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ابن قتيبة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782128" w:rsidRPr="00782128" w:rsidRDefault="00782128" w:rsidP="00782128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نتحدث عن ابن قتيبة عبد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الله بن مسلم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المتوفى سنة ست وسبعين بعد المائتين،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يعد ابن قتيبة الوريث الشرعي لمذهب أستاذه أبي حاتم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السجستاني في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تهجمه على القراءات من دون تمكن، أو دراية عميقة لوجوه العربية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82128" w:rsidRPr="00782128" w:rsidRDefault="00782128" w:rsidP="00782128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قال أبو الطيب اللغوي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كان يتسرع في أشياء لا يقوم بها، نحو تعرضه لتأليف كتاب في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النحو مما أزرى به عند العلماء. وكان أبو قتيبة يتعصب لمذهبه النحوي، ولو كلفه ذلك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الطعن على بعض مظاهر القرآن، أو قرائه الكبار، فقد ذهب إلى الاعتقاد بأن صحة الحديث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الذي يروى خطأ الكتاب في مصحف عثمان مرهونة بإيجاد وجوه نحوية لهذه الأخطاء، كما طعن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على كثير من القراء المتقدمين، ورماهم بالوهم والغلط، وشدد النكير على حمزة </w:t>
      </w:r>
      <w:r w:rsidRPr="00782128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أحد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القراء السبعة</w:t>
      </w:r>
      <w:r w:rsidRPr="00782128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ونعته بالجهل والخلط، وتضليل العامة في اختياراته، ورفض بعض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قراءاته، وقد اتبع المنهج ذاته في القراءات النادرة، فرفض بعضًا وقبل بعضًا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782128" w:rsidRPr="00782128" w:rsidRDefault="00782128" w:rsidP="00782128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فهو يرفض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قراءة بعض المتقدمين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فَلَا تُشْمِتَ بِيَ الْأَعْدَاءَ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بفتح التاء ونصب الأعداء، ويرمي أبا حيوة بالكفر لقراءته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ولا يحزنك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قولهم أن العزة لله جميعًا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بفتح همزة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أن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، وهو لا يحتفل بمخالفة الرسم إذا كانت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القراءة تتفق ومذهبه، فقد خرج قراءة بعض السلف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والشمس تجري لا مستقر لها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قال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والمعنى: أنها لا تقف ولا تستقر،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ولكنها جارية أبدًا، كما خرج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قراءة بعض المتقدمين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ونادوا يا مال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على أنها يا مالك، بل فضل بعضها أحيانًا على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القراءات المشهورة، فقراءة ابن عباس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بلى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أدارك علمهم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أشد إيضاحًا للمعنى، وهو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بعد هذا قد يحتج بهذه الحروف للقراءات المشهورة متبعًا في ذلك سنة الفراء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82128" w:rsidRPr="00782128" w:rsidRDefault="00782128" w:rsidP="00782128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وخلاصة القول: أن ابن قتيبة يخضع القراءات جميعًا لمذهبه النحوي، ويعتمد على القراءات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الشاذة في تثبيت الوجوه النحوية ما دامت موافقة لآرائه، وقد دفعه هذا المنهج إلى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الطعن على القراء لقراءتهم </w:t>
      </w:r>
      <w:r w:rsidRPr="00782128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كما يزعم</w:t>
      </w:r>
      <w:r w:rsidRPr="00782128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بالشاذ في العربية، قال: فهفو في كثير من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الحروف، وزلوا وقرءوا بالشاذ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82128" w:rsidRPr="00782128" w:rsidRDefault="00782128" w:rsidP="00782128">
      <w:pPr>
        <w:pStyle w:val="NormalWeb"/>
        <w:bidi/>
        <w:spacing w:before="0" w:before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lang w:bidi="ar-EG"/>
        </w:rPr>
      </w:pP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المبرد</w:t>
      </w:r>
      <w:r w:rsidRPr="00782128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</w:p>
    <w:p w:rsidR="00782128" w:rsidRPr="00782128" w:rsidRDefault="00782128" w:rsidP="00782128">
      <w:pPr>
        <w:pStyle w:val="NormalWeb"/>
        <w:bidi/>
        <w:spacing w:before="0" w:beforeAutospacing="0" w:after="12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ننتقل إلى المبرد</w:t>
      </w:r>
      <w:r w:rsidRPr="00782128">
        <w:rPr>
          <w:rFonts w:ascii="Simplified Arabic" w:hAnsi="Simplified Arabic" w:cs="AL-Hotham" w:hint="cs"/>
          <w:b/>
          <w:bCs/>
          <w:sz w:val="18"/>
          <w:szCs w:val="18"/>
          <w:rtl/>
        </w:rPr>
        <w:t>؛ هو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أبو العباس محمد بن يزيد، تابع المبرد أستاذه المازني في تحكيم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المقياس النحوي بالقراءات مشهورة كانت أم قليلة، ضاربًا الصفح عن سنتها؛ متعللًا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بضرورة التحليق بأسلوب القرآن،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وحمله على أشرف المذاهب في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العربية، ولم يفرق المبرد في طعنه على القراءات بين مشهورة وشاذة، ولعله لم يكن على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معرفة دقيقة بمستويات شهرتها؛ إذ وجدنا عباراته مضطربة في تسمية القراءة، ويغلب عليها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النقل الحرفي عن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القدماء، ولا سيما سيبويه، مع أن قرنًا يفصل بينهما، فهذه المدة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الزمنية كفيلة باختلاف مستوى شهرة القراءة في مرحلة التكوين والتطوع، فقد قال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سيبويه: قرأ الناس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782128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782128">
        <w:rPr>
          <w:rFonts w:ascii="QCF_P126" w:hAnsi="QCF_P126" w:cs="QCF_P126"/>
          <w:b/>
          <w:bCs/>
          <w:sz w:val="18"/>
          <w:szCs w:val="18"/>
          <w:rtl/>
        </w:rPr>
        <w:t>ﭡ ﭢ</w:t>
      </w:r>
      <w:r w:rsidRPr="00782128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}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التوبة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78]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على وجهين، فردد المبرد قوله: مع أن قراءة الرفع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هي التي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رجحت كفتها، كما يقول في بعض القراءات: قرأ القراء، والقراءة لواحد، أو اثنين، لا أكثر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82128" w:rsidRPr="00782128" w:rsidRDefault="00782128" w:rsidP="00782128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ولقد طبق المبرد على القراءات عمومًا قوله المعروف: إذا جعلت النوادر والشواذ غرضك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كثرت زلاتك. فوصف بعض القراءات الشاذة باللحن، والغلط، والقبح، وعدم الجواز، وحمل بعضها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على الضرورة الشعرية، كما نعت بعض القراء بالوهم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782128" w:rsidRPr="00782128" w:rsidRDefault="00782128" w:rsidP="00782128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وبمثل هذه الحدة نظر إلى القراءات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الشواذ فقبل بعضها، ورفض بعضها الآخر،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فقد رد الرواية عن نافع</w:t>
      </w:r>
      <w:r w:rsidRPr="00782128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أتعدان</w:t>
      </w:r>
      <w:r w:rsidRPr="00782128">
        <w:rPr>
          <w:rFonts w:ascii="Simplified Arabic" w:hAnsi="Simplified Arabic" w:cs="AL-Hotham" w:hint="cs"/>
          <w:b/>
          <w:bCs/>
          <w:sz w:val="18"/>
          <w:szCs w:val="18"/>
          <w:rtl/>
        </w:rPr>
        <w:t>َ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ني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بفتح النون الأولى قائلًا: إن كان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مثل هذا يجوز فليس بين الحق والباطل فرق، يتركون كتاب الله </w:t>
      </w:r>
      <w:r w:rsidRPr="00782128">
        <w:rPr>
          <w:rFonts w:ascii="AGA Arabesque" w:hAnsi="AGA Arabesque" w:cs="Simplified Arabic"/>
          <w:b/>
          <w:bCs/>
          <w:position w:val="-4"/>
          <w:sz w:val="18"/>
          <w:szCs w:val="18"/>
        </w:rPr>
        <w:t>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ولغات العرب،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ويستشهدون بأعرابي بوال.</w:t>
      </w:r>
    </w:p>
    <w:p w:rsidR="00782128" w:rsidRPr="00782128" w:rsidRDefault="00782128" w:rsidP="00782128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ووصف قراءة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أطهر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باللحن الفاحش، ورفض حذف حرف القسم في قراءة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بعضهم قال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فالحق والحق أقول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ودفعه حرصه الشديد على علامة الإعراب إلى تلحين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قراءة بعضهم </w:t>
      </w:r>
      <w:r w:rsidRPr="00782128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أي قراءة مسلمة بن عبد الله النحوي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وهو خادعهم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وقد يتذمر المبرد من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بعض هذه القراءات، فلا يرفضها رفضًا قاطعًا، وإنما يفضل عليها القراءات المشهورة، من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ذلك: أنه فضل نصب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الطير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على قراءة الأعرج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يا جبال أوبي معه والطيرُ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بالرفع، ورأى أن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قراءة عمارة بن عقيل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ولا الليل سابق النهار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بحذف تنوين سابق، ونصب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النهار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ليست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الوجه؛ لأن الحذف لالتقاء الساكنين عنده لا يكون إلا في حروف المد واللين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82128" w:rsidRPr="00782128" w:rsidRDefault="00782128" w:rsidP="00782128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وكما رفض المبرد بعض هذه القراءات ارتضى قسمًا آخر؛ لأنه يوافق مذهبه، فقراءة ابن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عباس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لم يمسسه نار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بتذكير الفعل مقبولة عنده؛ لأن المؤنث غير حقيقي. وقراءة أبي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جعفر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يذهب بالأبصار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محمولة على تعليق الجار والمجرور بالأبصار بالمصدر؛ لأن الفعل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يدل عليه، والتقدير: يذهب إذهابه بالأبصار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82128" w:rsidRPr="00782128" w:rsidRDefault="00782128" w:rsidP="00782128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ويبدو أن المبرد يعتد أيضًا بالحروف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المخالفة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من دون أن تثنيه مخالفتها لمصاحف المسلمين، فنحن لم نجده يحتفل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بهذه المخالفات، أو يشير إليها،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بل كان همه أن يفي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حق النحو عليه بكل ما يستطيع من مصادر، فقد تابع سيبويه في توجيهه قراءة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ولكن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كانوا هم الظالمون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على جعل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هم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مبتدأ، و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الظالمون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خبره، وخرج حرف أبي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تقاتلونهم أو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يسلموا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على معنى: إلا أن يسلموا، وحتى يسلموا، بقول امرئ القيس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25"/>
        <w:gridCol w:w="550"/>
        <w:gridCol w:w="1944"/>
      </w:tblGrid>
      <w:tr w:rsidR="00782128" w:rsidRPr="00782128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782128" w:rsidRPr="00782128" w:rsidRDefault="00782128" w:rsidP="00782128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782128">
              <w:rPr>
                <w:rFonts w:cs="AGA Furat Regular"/>
                <w:b/>
                <w:bCs/>
                <w:sz w:val="18"/>
                <w:szCs w:val="18"/>
                <w:rtl/>
              </w:rPr>
              <w:t>فقلت له لا تبك عينك إنما</w:t>
            </w:r>
            <w:r w:rsidRPr="00782128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2128" w:rsidRPr="00782128" w:rsidRDefault="00782128" w:rsidP="00782128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782128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782128" w:rsidRPr="00782128" w:rsidRDefault="00782128" w:rsidP="00782128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782128">
              <w:rPr>
                <w:rFonts w:cs="AGA Furat Regular"/>
                <w:b/>
                <w:bCs/>
                <w:sz w:val="18"/>
                <w:szCs w:val="18"/>
                <w:rtl/>
              </w:rPr>
              <w:t>نحاول ملكًا أو نموت فنعذر</w:t>
            </w:r>
            <w:r w:rsidRPr="00782128">
              <w:rPr>
                <w:rFonts w:cs="AGA Furat Regular" w:hint="cs"/>
                <w:b/>
                <w:bCs/>
                <w:sz w:val="18"/>
                <w:szCs w:val="18"/>
                <w:rtl/>
              </w:rPr>
              <w:t>ا</w:t>
            </w:r>
            <w:r w:rsidRPr="00782128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782128" w:rsidRPr="00782128" w:rsidRDefault="00782128" w:rsidP="00782128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وكان المبرد يتعصب أحيانًا لبعض هذه القراءات، ويرى أنها الوجه، من ذلك: جعله قراءة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الحسن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فله عشرٌ أمثالها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هي المختارة عند أهل اللغة، لماذا؟ لأن إضافة العدد إلى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الاسم أجود من إضافته إلى النعت. كما تابع الفراء في جعله قراءة النبي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فبذلك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فلتفرحوا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هي الأصل؛ لدخول اللام، بل قرر ببعض هذه القراءات قواعد جديدة، منها: أنه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أجاز تنكير الظرفين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قبل، وبعد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قياسًا على تنكير أولًا وآخرًا، وعلى نداء النكرة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يا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رجلا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بقراءة بعضهم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لله الأمر من قبل ومن بعد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، كما أجاز دخول لام الابتداء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على أن المفتوحة بقراءة سعيد بن جبير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إلا أنهم ليأكلون الطعام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وإعمال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إن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المخففة المكسورة الهمزة عمل ليس بقراءة سعيد بن جبير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إن الذين تدعون من دون الله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عبادًا أمثالكم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782128" w:rsidRPr="00782128" w:rsidRDefault="00782128" w:rsidP="00782128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وصفوة القول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أن المبرد تعصب لمذهبه النحوي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تعصبًا ظاهرًا على حساب القراءات الشاذة، وتابع أستاذه المازني في قسوته، فلم يرع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للقراءات حرمة، ولم يحفظ ذمم أصحابها؛ فقبل منها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ما وافق مذهبه النحوي،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ورفض ما لم يوافقه، ووقف من بعضها موقف الحذر، واحتج لما أخذه أحيانًا بالقرآن،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والشعر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82128" w:rsidRPr="00782128" w:rsidRDefault="00782128" w:rsidP="00782128">
      <w:pPr>
        <w:pStyle w:val="NormalWeb"/>
        <w:bidi/>
        <w:spacing w:before="0" w:before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نتحدث عن ثعلب:</w:t>
      </w:r>
    </w:p>
    <w:p w:rsidR="00782128" w:rsidRPr="00782128" w:rsidRDefault="00782128" w:rsidP="00782128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وهو أبو العباس أحمد بن يحيى المتوفى سنة إحدى وتسعين بعد المائتين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كان ثعلب يتابع أساتذته في كل ما يقولون،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ويسير على منهجهم في النظر إلى القراءات، بل يفوقهم احترامًا لها، فقد قال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إذا اختلف الإعرابان في القراءات لم أفضل إعرابًا على إعراب، فإن خرجت إلى كلام الناس فضلت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الأقوى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وهو في موقفه من القراءات النادرة، أو المخالفة لا يخرج عنهم أيضًا في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قبولها، فقد ذهب مع سيبويه إلى أن حرف ابن مسعود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وهذا بعلي شيخ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على حذف المبتدأ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شيخ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، قال: إذا كان مدحًا أو ذمًا استأنفوه، وخرج قراءة يعقوب بن أبي إسحاق الحضرمي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بلدة طيبة ورب</w:t>
      </w:r>
      <w:r w:rsidRPr="00782128">
        <w:rPr>
          <w:rFonts w:ascii="Simplified Arabic" w:hAnsi="Simplified Arabic" w:cs="AL-Hotham" w:hint="cs"/>
          <w:b/>
          <w:bCs/>
          <w:sz w:val="18"/>
          <w:szCs w:val="18"/>
          <w:rtl/>
        </w:rPr>
        <w:t>ًّ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 غفورًا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بالنصب على حذف الفعلين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أسكن، وأعبد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، وتابع الكسائي في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تخريجه لقراءة الحسن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لا يحب الله الجهر بالسوء من القول إلا من ظلم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ببناء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ظلم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للمفعول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إلا من ظلم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، قال: قال الكسائي: هذا استثناء يعرض، ومعنى يعرض: استثناء منقطع،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وذهب مع النحاة إلى أن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أطهر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في قراءة أهل المدينة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هؤلاء بناتي هن أطهر لكم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حال،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وكان ثعلب يتخلق بأخلاق العلماء؛ فلا يدلي برأي لا يعرفه، وهذا ما ظهر في موقفه من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بعض القراءات النادرة؛ إذ قال: لا أعرفه، كما كان ينص على الوجوه النحوية التي لم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تبلغه قراءتها، وكان أغلبها قراءات شاذة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82128" w:rsidRPr="00782128" w:rsidRDefault="00782128" w:rsidP="00782128">
      <w:pPr>
        <w:pStyle w:val="NormalWeb"/>
        <w:bidi/>
        <w:spacing w:before="0" w:before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ابن كيسان</w:t>
      </w:r>
      <w:r w:rsidRPr="00782128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</w:p>
    <w:p w:rsidR="00782128" w:rsidRPr="00782128" w:rsidRDefault="00782128" w:rsidP="00782128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ننتقل إلى ابن كيسان أب</w:t>
      </w:r>
      <w:r w:rsidRPr="00782128">
        <w:rPr>
          <w:rFonts w:ascii="Simplified Arabic" w:hAnsi="Simplified Arabic" w:cs="AL-Hotham" w:hint="cs"/>
          <w:b/>
          <w:bCs/>
          <w:sz w:val="18"/>
          <w:szCs w:val="18"/>
          <w:rtl/>
        </w:rPr>
        <w:t>ي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الحسن محمد بن أحمد المتوفى سنة تسع وتسعين بعد المائتين،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ونختم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القرن الثالث بتلميذ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أبوي العباس</w:t>
      </w:r>
      <w:r w:rsidRPr="00782128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ثعلب،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والمبرد. فهذا النحوي لم تصل إلينا كتبه، ولكن النصوص المتفرقة تدل على تمكنه في فن القراءات، وعلى اعتداله في موقفه منها، ولا سيما القراءات النادرة، فقد خرج قراءة ابن محيصن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سواء عليهم أنذرتهم أم لم تنذرهم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بهمزة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واحدة على حذف الاستفهام؛ لأن أم تدل عليها، واستشهد لها بقول الشاعر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13"/>
        <w:gridCol w:w="550"/>
        <w:gridCol w:w="1956"/>
      </w:tblGrid>
      <w:tr w:rsidR="00782128" w:rsidRPr="00782128" w:rsidTr="00064B76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782128" w:rsidRPr="00782128" w:rsidRDefault="00782128" w:rsidP="00782128">
            <w:pPr>
              <w:spacing w:after="120"/>
              <w:jc w:val="both"/>
              <w:rPr>
                <w:rFonts w:cs="AGA Furat Regular"/>
                <w:b/>
                <w:bCs/>
                <w:sz w:val="18"/>
                <w:szCs w:val="18"/>
                <w:rtl/>
              </w:rPr>
            </w:pPr>
            <w:r w:rsidRPr="00782128">
              <w:rPr>
                <w:rFonts w:cs="AGA Furat Regular"/>
                <w:b/>
                <w:bCs/>
                <w:sz w:val="18"/>
                <w:szCs w:val="18"/>
                <w:rtl/>
              </w:rPr>
              <w:t>تروح من الحي أم تبتكر</w:t>
            </w:r>
            <w:r w:rsidRPr="00782128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2128" w:rsidRPr="00782128" w:rsidRDefault="00782128" w:rsidP="00782128">
            <w:pPr>
              <w:spacing w:after="120"/>
              <w:jc w:val="center"/>
              <w:rPr>
                <w:rFonts w:cs="AL-Hotham" w:hint="cs"/>
                <w:b/>
                <w:bCs/>
                <w:sz w:val="18"/>
                <w:szCs w:val="18"/>
                <w:rtl/>
              </w:rPr>
            </w:pPr>
            <w:r w:rsidRPr="00782128">
              <w:rPr>
                <w:rFonts w:cs="AL-Hotham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782128" w:rsidRPr="00782128" w:rsidRDefault="00782128" w:rsidP="00782128">
            <w:pPr>
              <w:spacing w:after="120"/>
              <w:jc w:val="both"/>
              <w:rPr>
                <w:rFonts w:cs="AGA Furat Regular" w:hint="cs"/>
                <w:b/>
                <w:bCs/>
                <w:sz w:val="18"/>
                <w:szCs w:val="18"/>
                <w:rtl/>
              </w:rPr>
            </w:pPr>
            <w:r w:rsidRPr="00782128">
              <w:rPr>
                <w:rFonts w:cs="AGA Furat Regular"/>
                <w:b/>
                <w:bCs/>
                <w:sz w:val="18"/>
                <w:szCs w:val="18"/>
                <w:rtl/>
              </w:rPr>
              <w:t>وماذا يضرك لو تنتظر</w:t>
            </w:r>
            <w:r w:rsidRPr="00782128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782128" w:rsidRPr="00782128" w:rsidRDefault="00782128" w:rsidP="00782128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وأجاز بعض الوجوه النحوية التي تحتملها الآيات، ومن ذلك: تجويزه نصب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رب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من قوله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تعالى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الحمد لله ربَّ العالمين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على المدح،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ورفضه وجه النداء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فيها؛ لأنه يصير كما قال كلامين، وهو في الوجهين كلامان، ولكن أحدهما وهو النداء فيه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التفات،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ومن خلال هذا نستطيع أن نقول: إن ابن كيسان كان يسلم بوجوه القراءات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</w:rPr>
        <w:t>الشاذة، بحيث يمكن أن نجعله إلى جانب الخليل، ويونس، وسيبويه، وقطرب، وأبي عبيدة، وثعلب</w:t>
      </w:r>
      <w:r w:rsidRPr="00782128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782128" w:rsidRPr="00782128" w:rsidRDefault="00782128" w:rsidP="00782128">
      <w:pPr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782128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782128" w:rsidRPr="00782128" w:rsidRDefault="00782128" w:rsidP="00782128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782128" w:rsidRPr="00782128" w:rsidRDefault="00782128" w:rsidP="00782128">
      <w:pPr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782128" w:rsidRPr="00782128" w:rsidRDefault="00782128" w:rsidP="00782128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782128" w:rsidRPr="00782128" w:rsidRDefault="00782128" w:rsidP="00782128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782128" w:rsidRPr="00782128" w:rsidRDefault="00782128" w:rsidP="00782128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782128" w:rsidRPr="00782128" w:rsidRDefault="00782128" w:rsidP="00782128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782128" w:rsidRPr="00782128" w:rsidRDefault="00782128" w:rsidP="00782128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782128" w:rsidRPr="00782128" w:rsidRDefault="00782128" w:rsidP="00782128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782128" w:rsidRPr="00782128" w:rsidRDefault="00782128" w:rsidP="00782128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782128" w:rsidRPr="00782128" w:rsidRDefault="00782128" w:rsidP="00782128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782128" w:rsidRPr="00782128" w:rsidRDefault="00782128" w:rsidP="00782128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782128" w:rsidRPr="00782128" w:rsidRDefault="00782128" w:rsidP="00782128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782128" w:rsidRPr="00782128" w:rsidRDefault="00782128" w:rsidP="00782128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782128" w:rsidRPr="00782128" w:rsidRDefault="00782128" w:rsidP="00782128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782128" w:rsidRPr="00782128" w:rsidRDefault="00782128" w:rsidP="00782128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782128" w:rsidRPr="00782128" w:rsidRDefault="00782128" w:rsidP="00782128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782128" w:rsidRPr="00782128" w:rsidRDefault="00782128" w:rsidP="00782128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782128" w:rsidRPr="00782128" w:rsidRDefault="00782128" w:rsidP="00782128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عبد الفتاح القاضي، الهيئة العامة لشئون المطابع الأميرية، 1975م</w:t>
      </w:r>
    </w:p>
    <w:p w:rsidR="00782128" w:rsidRPr="00782128" w:rsidRDefault="00782128" w:rsidP="00782128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782128" w:rsidRPr="00782128" w:rsidRDefault="00782128" w:rsidP="00782128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782128" w:rsidRPr="00782128" w:rsidRDefault="00782128" w:rsidP="00782128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782128" w:rsidRPr="00782128" w:rsidRDefault="00782128" w:rsidP="00782128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782128" w:rsidRPr="00782128" w:rsidRDefault="00782128" w:rsidP="00782128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782128" w:rsidRPr="00782128" w:rsidRDefault="00782128" w:rsidP="00782128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782128" w:rsidRPr="00782128" w:rsidRDefault="00782128" w:rsidP="00782128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782128" w:rsidRPr="00782128" w:rsidRDefault="00782128" w:rsidP="00782128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782128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782128" w:rsidRPr="00782128" w:rsidRDefault="00782128" w:rsidP="00782128">
      <w:pPr>
        <w:rPr>
          <w:rFonts w:hint="cs"/>
          <w:b/>
          <w:bCs/>
          <w:sz w:val="18"/>
          <w:szCs w:val="18"/>
        </w:rPr>
      </w:pPr>
    </w:p>
    <w:p w:rsidR="00782128" w:rsidRPr="00782128" w:rsidRDefault="00782128" w:rsidP="00782128">
      <w:pPr>
        <w:rPr>
          <w:b/>
          <w:bCs/>
          <w:sz w:val="18"/>
          <w:szCs w:val="18"/>
        </w:rPr>
      </w:pPr>
    </w:p>
    <w:p w:rsidR="00782128" w:rsidRPr="00782128" w:rsidRDefault="00782128" w:rsidP="00782128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782128" w:rsidRPr="00782128" w:rsidRDefault="00782128" w:rsidP="00782128">
      <w:pPr>
        <w:rPr>
          <w:b/>
          <w:bCs/>
          <w:sz w:val="18"/>
          <w:szCs w:val="18"/>
        </w:rPr>
      </w:pPr>
    </w:p>
    <w:p w:rsidR="004219C3" w:rsidRPr="00782128" w:rsidRDefault="004219C3" w:rsidP="00782128">
      <w:pPr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</w:p>
    <w:sectPr w:rsidR="004219C3" w:rsidRPr="00782128" w:rsidSect="00782128">
      <w:type w:val="continuous"/>
      <w:pgSz w:w="11906" w:h="16838"/>
      <w:pgMar w:top="1440" w:right="991" w:bottom="709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1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82128"/>
    <w:rsid w:val="001A2769"/>
    <w:rsid w:val="004168A0"/>
    <w:rsid w:val="004219C3"/>
    <w:rsid w:val="004A286F"/>
    <w:rsid w:val="0078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1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212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2128"/>
    <w:pPr>
      <w:bidi w:val="0"/>
      <w:spacing w:before="100" w:beforeAutospacing="1" w:after="100" w:afterAutospacing="1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7821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msamir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1285</Words>
  <Characters>7327</Characters>
  <Application>Microsoft Office Word</Application>
  <DocSecurity>0</DocSecurity>
  <Lines>61</Lines>
  <Paragraphs>17</Paragraphs>
  <ScaleCrop>false</ScaleCrop>
  <Company>Fannan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2013-06-16T14:54:00Z</dcterms:created>
  <dcterms:modified xsi:type="dcterms:W3CDTF">2013-06-16T14:59:00Z</dcterms:modified>
</cp:coreProperties>
</file>