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61" w:rsidRDefault="008F7861" w:rsidP="008F7861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8F7861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مواقف النحاة في القرن الرابع</w:t>
      </w:r>
    </w:p>
    <w:p w:rsidR="008F7861" w:rsidRDefault="008F7861" w:rsidP="008F7861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8F7861" w:rsidRPr="00F7753E" w:rsidRDefault="008F7861" w:rsidP="008F7861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8F7861" w:rsidRPr="00F7753E" w:rsidRDefault="008F7861" w:rsidP="008F7861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8F7861" w:rsidRPr="00F7753E" w:rsidRDefault="008F7861" w:rsidP="008F7861">
      <w:pPr>
        <w:jc w:val="center"/>
        <w:rPr>
          <w:rFonts w:asciiTheme="majorBidi" w:eastAsia="Calibri" w:hAnsiTheme="majorBidi" w:cstheme="majorBidi"/>
          <w:sz w:val="18"/>
          <w:szCs w:val="18"/>
          <w:rtl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</w:rPr>
        <w:t>القراءات الشاذه</w:t>
      </w:r>
    </w:p>
    <w:p w:rsidR="008F7861" w:rsidRPr="00426F7E" w:rsidRDefault="008F7861" w:rsidP="008F7861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8F7861" w:rsidRPr="00426F7E" w:rsidRDefault="008F7861" w:rsidP="008F7861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8F7861" w:rsidRPr="00426F7E" w:rsidRDefault="008F7861" w:rsidP="008F7861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8F7861" w:rsidRPr="00426F7E" w:rsidRDefault="008F7861" w:rsidP="008F7861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8F7861" w:rsidRDefault="008F7861" w:rsidP="008F7861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hyperlink r:id="rId5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Ahmedmsamir54@gmail.com</w:t>
        </w:r>
      </w:hyperlink>
    </w:p>
    <w:p w:rsidR="008F7861" w:rsidRPr="00426F7E" w:rsidRDefault="008F7861" w:rsidP="008F7861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8F7861" w:rsidRDefault="008F7861" w:rsidP="008F7861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8F7861" w:rsidSect="008F7861">
          <w:pgSz w:w="11906" w:h="16838"/>
          <w:pgMar w:top="1440" w:right="849" w:bottom="568" w:left="1800" w:header="708" w:footer="708" w:gutter="0"/>
          <w:cols w:space="708"/>
          <w:bidi/>
          <w:rtlGutter/>
          <w:docGrid w:linePitch="360"/>
        </w:sectPr>
      </w:pPr>
    </w:p>
    <w:p w:rsidR="008F7861" w:rsidRPr="008F7861" w:rsidRDefault="008F7861" w:rsidP="008F7861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8F7861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مواقف النحاة في القرن الرابع</w:t>
      </w:r>
    </w:p>
    <w:p w:rsidR="008F7861" w:rsidRPr="008F7861" w:rsidRDefault="008F7861" w:rsidP="008F7861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8F7861" w:rsidRPr="008F7861" w:rsidRDefault="008F7861" w:rsidP="008F7861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8F7861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8F7861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القرن، الرابع،النحاه</w:t>
      </w:r>
    </w:p>
    <w:p w:rsidR="008F7861" w:rsidRPr="008F7861" w:rsidRDefault="008F7861" w:rsidP="008F7861">
      <w:pPr>
        <w:numPr>
          <w:ilvl w:val="0"/>
          <w:numId w:val="2"/>
        </w:numPr>
        <w:spacing w:after="200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8F7861" w:rsidRPr="008F7861" w:rsidRDefault="008F7861" w:rsidP="008F7861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8F7861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مواقف النحاة في القرن الرابع</w:t>
      </w:r>
    </w:p>
    <w:p w:rsidR="008F7861" w:rsidRPr="008F7861" w:rsidRDefault="008F7861" w:rsidP="008F7861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8F7861" w:rsidRPr="008F7861" w:rsidRDefault="008F7861" w:rsidP="008F7861">
      <w:pPr>
        <w:numPr>
          <w:ilvl w:val="0"/>
          <w:numId w:val="3"/>
        </w:numPr>
        <w:spacing w:after="200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8F7861" w:rsidRPr="008F7861" w:rsidRDefault="008F7861" w:rsidP="008F7861">
      <w:pPr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p w:rsidR="008F7861" w:rsidRPr="008F7861" w:rsidRDefault="008F7861" w:rsidP="008F786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نقف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في هذا القرن على مواقف عدد كبير من النحاة، وعلى جهود واضحة تميزت بالغنى والمباشرة؛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ذلك أن مصطلح الشذوذ قد أخذ يظهر في هذا القرن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F7861" w:rsidRPr="008F7861" w:rsidRDefault="008F7861" w:rsidP="008F786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أما النحاة فهم: أبو جعفر الطبري،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وأبو إسحاق الزجاج، وعلي بن سليمان الأخفش، وأبو بكر بن السراج، وأبو بكر بن مجاهد،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وأبو بكر الأنباري، وأبو إسحاق الزجاجي، وأبو جعفر النحاس، وأبو سعيد السيرافي، والحسين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بن خ</w:t>
      </w:r>
      <w:r w:rsidRPr="008F7861">
        <w:rPr>
          <w:rFonts w:ascii="Simplified Arabic" w:hAnsi="Simplified Arabic" w:cs="AL-Hotham" w:hint="cs"/>
          <w:b/>
          <w:bCs/>
          <w:sz w:val="18"/>
          <w:szCs w:val="18"/>
          <w:rtl/>
        </w:rPr>
        <w:t>ا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لويه، وأبو علي الفارسي، ومكي القيسي في كتابه (مشكل إعراب القرآن)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F7861" w:rsidRPr="008F7861" w:rsidRDefault="008F7861" w:rsidP="008F7861">
      <w:pPr>
        <w:pStyle w:val="NormalWeb"/>
        <w:bidi/>
        <w:spacing w:before="0" w:before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الإمام الطبري: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</w:p>
    <w:p w:rsidR="008F7861" w:rsidRPr="008F7861" w:rsidRDefault="008F7861" w:rsidP="008F786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أبو جعفر محمد بن جرير الطبري المتوفى سنة عشر بعد المائة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الثالثة، رفض أبو جعفر بشدة </w:t>
      </w:r>
      <w:r w:rsidRPr="008F7861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كما رأينا</w:t>
      </w:r>
      <w:r w:rsidRPr="008F7861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القراءة الشاذة، وهي كل قراءة خالفت الإجماع،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أو اختل فيها ركن الرسم، أو صحة العربية، أو كانت حرفًا مأثورًا، ولكنه لم يستطع أن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يدفعها دفعًا مطلقًا ينكرها فيه على أهله؛ لأنها كانت بالأمس قراءات لبعض الأئمة،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فحاول توجيهها، وإيجاد المخارج لها قال: وإن ما شذ من القراءات عما جاءت به الأمة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نقلًا ظاهرًا مستفيضًا، فرأيي للحق مخالف، وعن سبيل الله، وسبيل رسوله، وسبيل المسلمين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متجانف، وإن كان له في الصواب مخرج، وقد تعددت هذه المخارج لدى الطبري، فكان منها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التأويل، ومنها النظر في السند، ومنها الجانب النحوي، وعليه معولنا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F7861" w:rsidRPr="008F7861" w:rsidRDefault="008F7861" w:rsidP="008F786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كان الطبري على براعته في فن القراءات نحوي يحذق مذهب الكوفيين، ويجلب في إنائهم،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وينقل أقوالهم، ولا سيما أقوال الفراء، ويناقشه في بعضها، كما كان ينقل بعض آراء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البصريين، وله في ذلك كله اعتداده بنفسه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F7861" w:rsidRPr="008F7861" w:rsidRDefault="008F7861" w:rsidP="008F786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والقراءات الشاذة عند الإمام الطبري تقسم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كما هي لدى الفراء إلى ثلاثة أقسام: الحروف المأثورة عن الصحابة، والقراءات الأحادية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المخالفة للإجماع، والوجوه النحوية التي أجازها، ولم تبلغه قراءات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F7861" w:rsidRPr="008F7861" w:rsidRDefault="008F7861" w:rsidP="008F786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فأول هذه الأقسام الحروف المخالفة: وينعتها الإمام الطبري </w:t>
      </w:r>
      <w:r w:rsidRPr="008F7861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كما الفراء</w:t>
      </w:r>
      <w:r w:rsidRPr="008F7861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بالحرف حينًا، ويقرنها بأحد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المصاحف حينًا آخر، ويحددها حينًا بإحدى القراءتين، ويجعلها قراءة في أغلب الأحيان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F7861" w:rsidRPr="008F7861" w:rsidRDefault="008F7861" w:rsidP="008F786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ويغلب على أبي جعفر الطبري توجيهه لهذه الحروف على مذاهب العربية توجيهًا بسيطًا لا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كلفة فيه، من ذلك: توجيهه لحرف أبي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وآتينا داود زبورا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ورسل قد قصصناهم عليك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برفع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رسل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على أنه مرفوع بعائد الذكر من قوله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قصصنا عليك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، وهو رأي الفراء، ومذهب الكوفيين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في رفع مثل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رسل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، وما أكثر نقله عن الفراء في توجيه هذه الحروف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F7861" w:rsidRPr="008F7861" w:rsidRDefault="008F7861" w:rsidP="008F7861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وقد يستعين عليها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بآيات القرآن،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وهو يولي هذا الجانب عناية خاصة؛ لأن كتاب الله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عنده نزل بأفصح ألسن العرب، وهذه أيضًا مقولة الفراء، ومن ذلك: تخريجه لقراءة ابن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مسعود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قد بدا البغضاء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بقوله تعالى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8F7861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F7861">
        <w:rPr>
          <w:rFonts w:ascii="QCF_P229" w:hAnsi="QCF_P229" w:cs="QCF_P229"/>
          <w:b/>
          <w:bCs/>
          <w:sz w:val="18"/>
          <w:szCs w:val="18"/>
          <w:rtl/>
        </w:rPr>
        <w:t>ﮜ ﮝ ﮞ ﮟ</w:t>
      </w:r>
      <w:r w:rsidRPr="008F7861">
        <w:rPr>
          <w:rFonts w:ascii="QCF_P229" w:hAnsi="QCF_P229" w:cs="DecoType Thuluth"/>
          <w:b/>
          <w:bCs/>
          <w:sz w:val="18"/>
          <w:szCs w:val="18"/>
          <w:rtl/>
        </w:rPr>
        <w:t>}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هود: 67]؛ لأن الصيحة كالبغضاء، فكلاهما مصدر مؤنث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تأنيثًا لفظيًّا يجوز في فعله التذكير إذا تقدم، كما يستعين بالشعر، وهو جانب بارز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أيضًا في منهجه، من ذلك: تخريجه لقراءة ابن مسعود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وللظالمين أعد لهم عذاب</w:t>
      </w:r>
      <w:r w:rsidRPr="008F7861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ا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على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تكرار حرف الجر اللام بقول الشاعر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96"/>
        <w:gridCol w:w="551"/>
        <w:gridCol w:w="1943"/>
      </w:tblGrid>
      <w:tr w:rsidR="008F7861" w:rsidRPr="008F7861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8F7861" w:rsidRPr="008F7861" w:rsidRDefault="008F7861" w:rsidP="008F7861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8F7861">
              <w:rPr>
                <w:rFonts w:cs="AGA Furat Regular"/>
                <w:b/>
                <w:bCs/>
                <w:sz w:val="18"/>
                <w:szCs w:val="18"/>
                <w:rtl/>
              </w:rPr>
              <w:t>فأصبحنا لا يسألنه عن بما به</w:t>
            </w:r>
            <w:r w:rsidRPr="008F7861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7861" w:rsidRPr="008F7861" w:rsidRDefault="008F7861" w:rsidP="008F7861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8F7861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8F7861" w:rsidRPr="008F7861" w:rsidRDefault="008F7861" w:rsidP="008F7861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8F7861">
              <w:rPr>
                <w:rFonts w:cs="AGA Furat Regular"/>
                <w:b/>
                <w:bCs/>
                <w:sz w:val="18"/>
                <w:szCs w:val="18"/>
                <w:rtl/>
              </w:rPr>
              <w:t>أصعد في غاوي الهوى أم تصوبا</w:t>
            </w:r>
            <w:r w:rsidRPr="008F7861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8F7861" w:rsidRPr="008F7861" w:rsidRDefault="008F7861" w:rsidP="008F786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بتكرار حرف الجر الباء عن بما به، وقد يلجأ الإمام الطبري إلى بعض لغات العرب؛ للكشف عن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وجوهها، على أن ذلك منقول في معظمه عن الفراء، فالطبري يعتد كثيرًا بهذه الحروف، ويوسع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لها، وإذا كان الفراء قد جعلها دليلًا على الوجوه المشهورة، فإن الطبري يجعلها من أدل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الدليل عليها، ولكن الفارق بين النحويين: أن الفراء لا ينص على خروجها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من دائرة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قرآن المسلمين، والطبري يفعل ذلك صراحة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F7861" w:rsidRPr="008F7861" w:rsidRDefault="008F7861" w:rsidP="008F786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ثانيًا: القراءات الأحادية والمخالفة للإجماع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8F7861" w:rsidRPr="008F7861" w:rsidRDefault="008F7861" w:rsidP="008F786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غلب على الطبري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في تخريجه لهذه القراءات الإيجاز في عرض الوجه النحوي، وإطلاق العبارات العامة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أحيانًا، فضلًا عن تركه لكثير منها بلا تخريج، وربما يعود ذلك إلى انهماكه في غربلة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القراءات، وتمييز الصحيح من الشاذ فيها، أو إلى سوء ظنه بالشواذ، وكأني به لا يرى فضلًا في بيان وجوهها ما دامت شاذة منكورة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F7861" w:rsidRPr="008F7861" w:rsidRDefault="008F7861" w:rsidP="008F786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فالطبري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يذكر كثيرًا من هذه القراءات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من غير أن يذكر وجهها النحوي، من ذلك: قراءة أبي جعفر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هيهات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هيهات لما توعدون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بالبناء على الكسر، وقد يكتفي بالقول في بعضها، وذلك وجه صحيح في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العربية، أو هي صحيحة في العربية فصيحة، أو وله وجه في العربية مفهوم من دون أن يبين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مستوى هذه الفصاحة، أو نوع تلك الصحة، ولكن الغالب عليه يورد لها وجهًا نحويًّا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بعبارة مقتضبة، كقوله في قراءة الحسن البصري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وإذ قال إبراهيم لأبيه آزرُ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بالرفع على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النداء، وقد استعان الإمام الطبري كما هو الأمر في الحروف في القرآن تارة، وبالشعر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أخرى، وبكلام العرب، نذكر من ذلك: احتجاجه بقراءة ابن وثاب، والأعمش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ولا يجرمنكم شنآن قوم إن يصدوكم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بلغة بعض قبائل العرب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أجرم، يجرم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وغلب على الطبري الاقتصار على وجه نحوي واحد كالفراء في بيان وجوه هذه القراءات،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وقلما تجاوزه إلى الوجهين، أو الثلاثة على نحو تخريجه لقراءة بعضها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F7861" w:rsidRPr="008F7861" w:rsidRDefault="008F7861" w:rsidP="008F786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شهرَ رمضان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بالنصب على المفعولية بفعل الصلة، وتقديره: وأن تصوموا شهر رمضان، وعلى المفعولية لفعل محذوف، وتقديره: شهر رمضان فصوموه، وعلى الظرفية، وتقديره: كتب عليكم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الصيام في شهر رمضان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F7861" w:rsidRPr="008F7861" w:rsidRDefault="008F7861" w:rsidP="008F786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ولم يكن أبو جعفر الطبري يسلم بوجوه هذه القراءات جميعًا، بل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كان يقف من بعضها موقف المعارضة إذا لم توافقه، فقد لحن قراءة بعضهم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ولكل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وجهة هو موليها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؛ لأن الخبر عنده تام؛ ولأن الكلام لا معنى له، فلا يعقل أن يكون من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كلام الله، كما لحن قراءة أبي جعفر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ليجزى قوما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، وأنكر أن تكون على مذاهب كلام العرب،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ووصف قراءة الحسن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لا ترى إلا مساكنهم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بالقبح، كما وصف غيرها بالرداءة، والبعد عن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الصحة، وحمل بعضها الآخر على ضرورة الشعر، ولعل هذا الموقف الرفضي منه طبيعي بالقياس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إلى موقفه من كثير من القراءات المعروفة التي أسهم ضعف وجهها النحوي عنده في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تشذيذها، وإخراجها من قرآن المسلمين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F7861" w:rsidRPr="008F7861" w:rsidRDefault="008F7861" w:rsidP="008F786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ثالثًا: الوجوه النحوية الجائزة في الآيات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8F7861" w:rsidRPr="008F7861" w:rsidRDefault="008F7861" w:rsidP="008F786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نسج الطبري في هذا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المذهب على منوال النحاة قبله ممن اشتغل بالقرآن، ولا سيما الفراء،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ولكن هذا الجانب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لم يكن كبيرا في كتابه (التفسير) إذا ما قيس بجهود الأخير، فأبو جعفر </w:t>
      </w:r>
      <w:r w:rsidRPr="008F7861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كما أسلفنا</w:t>
      </w:r>
      <w:r w:rsidRPr="008F7861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لم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يكن نحويًّا خالصًا في كتابه، بل عالم قراءة يستعين بالنحو على إضاءة جوانبها، فقد كان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النحو عنده جزءًا من التفسير، يساعده على شرح وجوه التنزيل، وقد اتبع الطبري في هذه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الوجوه الطريقة ذاتها التي فسر بها القراءات من احتجاج، واستدلال، وكشف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F7861" w:rsidRPr="008F7861" w:rsidRDefault="008F7861" w:rsidP="008F7861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F786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نذكر من ذلك</w:t>
      </w:r>
      <w:r w:rsidRPr="008F7861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: </w:t>
      </w:r>
      <w:r w:rsidRPr="008F786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إجازته للنصب في قوله تعالى</w:t>
      </w:r>
      <w:r w:rsidRPr="008F7861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: </w:t>
      </w:r>
      <w:r w:rsidRPr="008F7861">
        <w:rPr>
          <w:rFonts w:ascii="Simplified Arabic" w:hAnsi="Simplified Arabic" w:cs="DecoType Thuluth"/>
          <w:b/>
          <w:bCs/>
          <w:spacing w:val="-4"/>
          <w:sz w:val="18"/>
          <w:szCs w:val="18"/>
          <w:rtl/>
          <w:lang w:bidi="ar-EG"/>
        </w:rPr>
        <w:t>{</w:t>
      </w:r>
      <w:r w:rsidRPr="008F7861">
        <w:rPr>
          <w:rFonts w:ascii="QCF_P027" w:hAnsi="QCF_P027" w:cs="QCF_P027"/>
          <w:b/>
          <w:bCs/>
          <w:spacing w:val="-4"/>
          <w:sz w:val="18"/>
          <w:szCs w:val="18"/>
          <w:rtl/>
        </w:rPr>
        <w:t>ﮟ ﮠ</w:t>
      </w:r>
      <w:r w:rsidRPr="008F7861">
        <w:rPr>
          <w:rFonts w:ascii="QCF_P027" w:hAnsi="QCF_P027" w:cs="DecoType Thuluth"/>
          <w:b/>
          <w:bCs/>
          <w:spacing w:val="-4"/>
          <w:sz w:val="18"/>
          <w:szCs w:val="18"/>
          <w:rtl/>
        </w:rPr>
        <w:t>}</w:t>
      </w:r>
      <w:r w:rsidRPr="008F7861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[</w:t>
      </w:r>
      <w:r w:rsidRPr="008F7861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البقرة: 178]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، قال: لو كان التنزيل جاء بالنصب كان صحيحًا على وجه الأمر، كما يقال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ضربًا ضربًا، والنصب قراءة ابن أبي عبلة. على أن هذه الجهود النحوية التي بذلها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الطبري في تخريج الشواذ، وهذه الأشعار واللغات التي ساقها للكشف عنها لم تكن خالصة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له، بل كانت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في معظمها منقولة عن الفراء، فقد أغار أبو جعفر على كتاب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(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معاني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القرآن) ينهل منه القراءات والوجوه والآراء؛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حتى يخيل إلى المرء أنه قد ينقل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منه نقلًا،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فالتعليقات النحوية، والوجوه المختلفة، والحروف المخالفة، والطعن على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بعض القراءات، كل ذلك نجده في كتاب الفراء، ما خلا بعض الآراء النادرة التي صرح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بأخذها عن أهل البصرة، من نحو قوله في قراءة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أطهر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":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وكان بعض نحوي البصرة يقولون: هذا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لا يكون، وما عدا بعض الآراء الجديدة التي ناقش فيها الفراء، أو خالفه، من ذلك: أنه لم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يقبل قراءة زيد بن ثابت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فبذلك فلتفرحوا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التي أجازها الفراء؛ لأن دخول هذه اللام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في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رأيه لا يتكلم به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F7861" w:rsidRPr="008F7861" w:rsidRDefault="008F7861" w:rsidP="008F786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ولم يكن الطبري يشير إلى هذا المصدر إلا في قليل من المواضع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الثانوية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كأن يقول: وذكر الفراء أن بعض العرب أنشده متجاهلًا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نقل آرائه النحوية برمتها، بل كان يطمس عبارات الفراء بالتقديم والتأخير، أو إهمال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بعض الكلمات من غير أن يتخلى عن النحو، فقد قال الفراء في قراءة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إن الله هو الرزاق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ذو القوة المتين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بجر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المتين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ذهب إلى الحبل: هو الشيء المفتول، فقال الطبري: ذهب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بالقوة من قوى الحبل، والشيء المبرم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الفتل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F7861" w:rsidRPr="008F7861" w:rsidRDefault="008F7861" w:rsidP="008F7861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لقد خرج الطبري القراءات الشاذة، واتبع في ذلك منهج الفراء في طرق الاحتجاج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والاستدلال، ولكنه لم يكن مثله يحسن الظن بها، بل تعصب عليها، ولعل هذا يعود إلى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قناعته بخروج هذه القراءات عن القرآن، على حين كان الفراء بمعزل عن هذه المصطلحات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والمقاييس، ولم يكن الطبري في جهوده نحويًّا كوفيًا بقدر ما كان رواية لآراء الكوفيين،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</w:rPr>
        <w:t>يهمل ذكر مصادره، ولا ينسبها إلى أصحابها</w:t>
      </w:r>
      <w:r w:rsidRPr="008F7861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F7861" w:rsidRPr="008F7861" w:rsidRDefault="008F7861" w:rsidP="008F7861">
      <w:pPr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8F7861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8F7861" w:rsidRPr="008F7861" w:rsidRDefault="008F7861" w:rsidP="008F786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8F7861" w:rsidRPr="008F7861" w:rsidRDefault="008F7861" w:rsidP="008F7861">
      <w:pPr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8F7861" w:rsidRPr="008F7861" w:rsidRDefault="008F7861" w:rsidP="008F786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8F7861" w:rsidRPr="008F7861" w:rsidRDefault="008F7861" w:rsidP="008F7861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8F7861" w:rsidRPr="008F7861" w:rsidRDefault="008F7861" w:rsidP="008F786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8F7861" w:rsidRPr="008F7861" w:rsidRDefault="008F7861" w:rsidP="008F7861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8F7861" w:rsidRPr="008F7861" w:rsidRDefault="008F7861" w:rsidP="008F786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8F7861" w:rsidRPr="008F7861" w:rsidRDefault="008F7861" w:rsidP="008F7861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8F7861" w:rsidRPr="008F7861" w:rsidRDefault="008F7861" w:rsidP="008F786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8F7861" w:rsidRPr="008F7861" w:rsidRDefault="008F7861" w:rsidP="008F7861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8F7861" w:rsidRPr="008F7861" w:rsidRDefault="008F7861" w:rsidP="008F786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8F7861" w:rsidRPr="008F7861" w:rsidRDefault="008F7861" w:rsidP="008F7861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8F7861" w:rsidRPr="008F7861" w:rsidRDefault="008F7861" w:rsidP="008F786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8F7861" w:rsidRPr="008F7861" w:rsidRDefault="008F7861" w:rsidP="008F7861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8F7861" w:rsidRPr="008F7861" w:rsidRDefault="008F7861" w:rsidP="008F786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8F7861" w:rsidRPr="008F7861" w:rsidRDefault="008F7861" w:rsidP="008F7861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8F7861" w:rsidRPr="008F7861" w:rsidRDefault="008F7861" w:rsidP="008F786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8F7861" w:rsidRPr="008F7861" w:rsidRDefault="008F7861" w:rsidP="008F7861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8F7861" w:rsidRPr="008F7861" w:rsidRDefault="008F7861" w:rsidP="008F786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8F7861" w:rsidRPr="008F7861" w:rsidRDefault="008F7861" w:rsidP="008F7861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8F7861" w:rsidRPr="008F7861" w:rsidRDefault="008F7861" w:rsidP="008F786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8F7861" w:rsidRPr="008F7861" w:rsidRDefault="008F7861" w:rsidP="008F7861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8F7861" w:rsidRPr="008F7861" w:rsidRDefault="008F7861" w:rsidP="008F786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8F7861" w:rsidRPr="008F7861" w:rsidRDefault="008F7861" w:rsidP="008F7861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8F7861" w:rsidRPr="008F7861" w:rsidRDefault="008F7861" w:rsidP="008F7861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8F7861" w:rsidRPr="008F7861" w:rsidRDefault="008F7861" w:rsidP="008F7861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8F7861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8F7861" w:rsidRPr="008F7861" w:rsidRDefault="008F7861" w:rsidP="008F7861">
      <w:pPr>
        <w:rPr>
          <w:rFonts w:hint="cs"/>
          <w:b/>
          <w:bCs/>
          <w:sz w:val="18"/>
          <w:szCs w:val="18"/>
        </w:rPr>
      </w:pPr>
    </w:p>
    <w:p w:rsidR="008F7861" w:rsidRPr="008F7861" w:rsidRDefault="008F7861" w:rsidP="008F7861">
      <w:pPr>
        <w:rPr>
          <w:b/>
          <w:bCs/>
          <w:sz w:val="18"/>
          <w:szCs w:val="18"/>
        </w:rPr>
      </w:pPr>
    </w:p>
    <w:p w:rsidR="008F7861" w:rsidRPr="008F7861" w:rsidRDefault="008F7861" w:rsidP="008F7861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8F7861" w:rsidRPr="008F7861" w:rsidRDefault="008F7861" w:rsidP="008F7861">
      <w:pPr>
        <w:rPr>
          <w:b/>
          <w:bCs/>
          <w:sz w:val="18"/>
          <w:szCs w:val="18"/>
        </w:rPr>
      </w:pPr>
    </w:p>
    <w:p w:rsidR="008F7861" w:rsidRDefault="008F7861" w:rsidP="008F7861">
      <w:pPr>
        <w:jc w:val="center"/>
        <w:rPr>
          <w:rFonts w:asciiTheme="majorBidi" w:eastAsia="Calibri" w:hAnsiTheme="majorBidi" w:cstheme="majorBidi"/>
          <w:b/>
          <w:bCs/>
          <w:sz w:val="48"/>
          <w:szCs w:val="48"/>
          <w:rtl/>
        </w:rPr>
        <w:sectPr w:rsidR="008F7861" w:rsidSect="008F7861">
          <w:type w:val="continuous"/>
          <w:pgSz w:w="11906" w:h="16838"/>
          <w:pgMar w:top="1440" w:right="849" w:bottom="568" w:left="1800" w:header="708" w:footer="708" w:gutter="0"/>
          <w:cols w:num="2" w:space="708"/>
          <w:bidi/>
          <w:rtlGutter/>
          <w:docGrid w:linePitch="360"/>
        </w:sectPr>
      </w:pPr>
    </w:p>
    <w:p w:rsidR="004219C3" w:rsidRPr="008F7861" w:rsidRDefault="004219C3" w:rsidP="008F7861">
      <w:pPr>
        <w:jc w:val="center"/>
        <w:rPr>
          <w:rFonts w:asciiTheme="majorBidi" w:eastAsia="Calibri" w:hAnsiTheme="majorBidi" w:cstheme="majorBidi"/>
          <w:b/>
          <w:bCs/>
          <w:sz w:val="48"/>
          <w:szCs w:val="48"/>
        </w:rPr>
      </w:pPr>
    </w:p>
    <w:sectPr w:rsidR="004219C3" w:rsidRPr="008F7861" w:rsidSect="008F7861">
      <w:type w:val="continuous"/>
      <w:pgSz w:w="11906" w:h="16838"/>
      <w:pgMar w:top="1440" w:right="849" w:bottom="56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22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0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F7861"/>
    <w:rsid w:val="001A2769"/>
    <w:rsid w:val="004168A0"/>
    <w:rsid w:val="004219C3"/>
    <w:rsid w:val="004A286F"/>
    <w:rsid w:val="008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86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F7861"/>
    <w:pPr>
      <w:bidi w:val="0"/>
      <w:spacing w:before="100" w:beforeAutospacing="1" w:after="100" w:afterAutospacing="1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8F78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1274</Words>
  <Characters>7263</Characters>
  <Application>Microsoft Office Word</Application>
  <DocSecurity>0</DocSecurity>
  <Lines>60</Lines>
  <Paragraphs>17</Paragraphs>
  <ScaleCrop>false</ScaleCrop>
  <Company>Fannan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2013-06-16T14:54:00Z</dcterms:created>
  <dcterms:modified xsi:type="dcterms:W3CDTF">2013-06-16T14:58:00Z</dcterms:modified>
</cp:coreProperties>
</file>