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5" w:rsidRDefault="00A23EF5" w:rsidP="00A23EF5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A23EF5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الإمام ابن مجاهد</w:t>
      </w:r>
    </w:p>
    <w:p w:rsidR="00A23EF5" w:rsidRPr="00F7753E" w:rsidRDefault="00A23EF5" w:rsidP="00A23EF5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A23EF5" w:rsidRPr="00426F7E" w:rsidRDefault="00A23EF5" w:rsidP="00A23EF5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A23EF5" w:rsidRPr="00426F7E" w:rsidRDefault="00A23EF5" w:rsidP="00A23EF5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A23EF5" w:rsidRPr="00426F7E" w:rsidRDefault="00A23EF5" w:rsidP="00A23EF5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A23EF5" w:rsidRPr="00426F7E" w:rsidRDefault="00A23EF5" w:rsidP="00A23EF5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A23EF5" w:rsidRDefault="00A23EF5" w:rsidP="00A23EF5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A23EF5" w:rsidRPr="00426F7E" w:rsidRDefault="00A23EF5" w:rsidP="00A23EF5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A23EF5" w:rsidRDefault="00A23EF5" w:rsidP="00A23EF5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A23EF5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A23EF5" w:rsidRPr="00A23EF5" w:rsidRDefault="00A23EF5" w:rsidP="00A23EF5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A23EF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الإمام ابن مجاهد</w:t>
      </w:r>
    </w:p>
    <w:p w:rsidR="00A23EF5" w:rsidRPr="00A23EF5" w:rsidRDefault="00A23EF5" w:rsidP="00A23EF5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A23EF5" w:rsidRPr="00A23EF5" w:rsidRDefault="00A23EF5" w:rsidP="00A23EF5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A23EF5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A23EF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موسى، الهجره، مجاهد</w:t>
      </w:r>
    </w:p>
    <w:p w:rsidR="00A23EF5" w:rsidRPr="00A23EF5" w:rsidRDefault="00A23EF5" w:rsidP="00A23EF5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A23EF5" w:rsidRPr="00A23EF5" w:rsidRDefault="00A23EF5" w:rsidP="00A23EF5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A23EF5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الإمام ابن مجاهد</w:t>
      </w:r>
    </w:p>
    <w:p w:rsidR="00A23EF5" w:rsidRPr="00A23EF5" w:rsidRDefault="00A23EF5" w:rsidP="00A23EF5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23EF5" w:rsidRPr="00A23EF5" w:rsidRDefault="00A23EF5" w:rsidP="00A23EF5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A23EF5" w:rsidRPr="00A23EF5" w:rsidRDefault="00A23EF5" w:rsidP="00A23EF5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نتحدث عن ابن مجاهد: أبو بكر أحمد بن موسى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المتوفى سنة ثلاثمائة وأربعة وعشرين من الهجرة، كان لابن مجاهد </w:t>
      </w:r>
      <w:r w:rsidRPr="00A23EF5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مجتهد العصر في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القراءات</w:t>
      </w:r>
      <w:r w:rsidRPr="00A23EF5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باع أخرى في النحو، فقد وجدناه في كتابه (السبعة في القراءات) يحتج لوجوه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سورة الفاتحة، ويردد بعض مصطلحات الكوفيين كمصطلح التكرير، ولكن هذه الباع لم تكن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طويلة، وذلك لتخطئته </w:t>
      </w:r>
      <w:r w:rsidRPr="00A23EF5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خلافًا لشوقي ضيف</w:t>
      </w:r>
      <w:r w:rsidRPr="00A23EF5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جمهرة من القراءات المروية عن القُرَّاء السبعة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الذين اختارهم بنفسه، فقد قال في بعض هذه القراءات: خطأ في العربية، وأيضًا لا يجوز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لغة أصلًا، وكذلك رديء، ورديء جدًّا، وغلط، ولا وجه له، هكذا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A23EF5" w:rsidRPr="00A23EF5" w:rsidRDefault="00A23EF5" w:rsidP="00A23EF5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pacing w:val="4"/>
          <w:sz w:val="18"/>
          <w:szCs w:val="18"/>
          <w:lang w:bidi="ar-EG"/>
        </w:rPr>
      </w:pP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وردت هذه المصطلحات أو هذه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الألفاظ في كتابه (السبعة)، كما رفض ابن مجاهد مجموعة أخرى من القراءات الشاذة التي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نقل آراءه فيها ابن خ</w:t>
      </w:r>
      <w:r w:rsidRPr="00A23EF5">
        <w:rPr>
          <w:rFonts w:ascii="Simplified Arabic" w:hAnsi="Simplified Arabic" w:cs="AL-Hotham" w:hint="cs"/>
          <w:b/>
          <w:bCs/>
          <w:sz w:val="18"/>
          <w:szCs w:val="18"/>
          <w:rtl/>
        </w:rPr>
        <w:t>ا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لويه، وابن جني، وبعض المتأخرين، فقد رفض قراءة طلحة بن سليمان</w:t>
      </w:r>
      <w:r w:rsidRPr="00A23EF5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A23EF5">
        <w:rPr>
          <w:rFonts w:ascii="QCF_P090" w:hAnsi="QCF_P090" w:cs="QCF_P090"/>
          <w:b/>
          <w:bCs/>
          <w:sz w:val="18"/>
          <w:szCs w:val="18"/>
          <w:rtl/>
        </w:rPr>
        <w:t>ﯜ ﯝ ﯞ ﯟ</w:t>
      </w:r>
      <w:r w:rsidRPr="00A23EF5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النساء: 78] برفع الكافين هكذا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أينما تكونوا يدركُكُم الموت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، وقال 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فيها: هذا مردود في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العربية،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كما رفض قراءة ابن يعمر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DecoType Thuluth"/>
          <w:b/>
          <w:bCs/>
          <w:spacing w:val="4"/>
          <w:sz w:val="18"/>
          <w:szCs w:val="18"/>
          <w:rtl/>
          <w:lang w:bidi="ar-EG"/>
        </w:rPr>
        <w:t>{</w:t>
      </w:r>
      <w:r w:rsidRPr="00A23EF5">
        <w:rPr>
          <w:rFonts w:ascii="QCF_P116" w:hAnsi="QCF_P116" w:cs="QCF_P116"/>
          <w:b/>
          <w:bCs/>
          <w:spacing w:val="4"/>
          <w:sz w:val="18"/>
          <w:szCs w:val="18"/>
          <w:rtl/>
        </w:rPr>
        <w:t>ﯾ ﯿ ﰀ</w:t>
      </w:r>
      <w:r w:rsidRPr="00A23EF5">
        <w:rPr>
          <w:rFonts w:ascii="QCF_P116" w:hAnsi="QCF_P116" w:cs="DecoType Thuluth"/>
          <w:b/>
          <w:bCs/>
          <w:spacing w:val="4"/>
          <w:sz w:val="18"/>
          <w:szCs w:val="18"/>
          <w:rtl/>
        </w:rPr>
        <w:t>}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[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المائدة: 50] برفع الميم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"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أفحكمُ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الجاهلية يبغون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"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، وقال: هو خطأ ووصف قراءات كثيرة بالغلط واللحن، وقال في بعضها: لا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يُقرأ بها، وليس هذا بشيء، ولا يصح، ولا يكون، ولا أصل له، ولا أعرف، هكذا وردت هذه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الألفاظ عنه</w:t>
      </w:r>
      <w:r w:rsidRPr="00A23EF5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. </w:t>
      </w:r>
    </w:p>
    <w:p w:rsidR="00A23EF5" w:rsidRPr="00A23EF5" w:rsidRDefault="00A23EF5" w:rsidP="00A23EF5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ولكن يبدو أن ابن جني قد تحامل بعض الشيء على ابن مجاهد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، وذلك لاقتصار نقوله عنه على الجوانب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القاتمة من طعن على الشواذ، أو عجز في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توجيهها، وهو إذا نقل له رأيًا فيها، فإنما يذكره للنيل منه، من ذلك ردُّه لرأيه في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قراءة ابن محيصن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وسواء عليهم أأنذرتهم أم تنذرهم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أنها على الخبر، وتخريج القراءة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على حذف همزة الاستفهام، ولعل ابن خ</w:t>
      </w:r>
      <w:r w:rsidRPr="00A23EF5">
        <w:rPr>
          <w:rFonts w:ascii="Simplified Arabic" w:hAnsi="Simplified Arabic" w:cs="AL-Hotham" w:hint="cs"/>
          <w:b/>
          <w:bCs/>
          <w:sz w:val="18"/>
          <w:szCs w:val="18"/>
          <w:rtl/>
        </w:rPr>
        <w:t>ا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لويه كان أكثر اعتدالًا وإنصافًا لأستاذه ابن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مجاهد؛ إذ نقل عنه في كتابه (المختصر</w:t>
      </w:r>
      <w:r w:rsidRPr="00A23EF5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بعض تخريجاته له، وقد قال ابن مجاهد في قراءة أبي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رجاء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وما آتيتم من ربا لتربوا في أموال الناس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، وله وجه جيد لقوله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وضرب لكم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وخرج قراءة زيد بن علي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ولكن رسولُ الله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برفع رسول على حذف المبتدأ، واحتج لقراءة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عكرمة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ليألف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بفتح اللام بلغة بني سليم، وعكل الذين يفتحون لام الأمر، وأنشد قول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</w:rPr>
        <w:t>الشاعر</w:t>
      </w:r>
      <w:r w:rsidRPr="00A23EF5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511"/>
        <w:gridCol w:w="1776"/>
      </w:tblGrid>
      <w:tr w:rsidR="00A23EF5" w:rsidRPr="00A23EF5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A23EF5" w:rsidRPr="00A23EF5" w:rsidRDefault="00A23EF5" w:rsidP="00A23EF5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A23EF5">
              <w:rPr>
                <w:rFonts w:cs="AGA Furat Regular"/>
                <w:b/>
                <w:bCs/>
                <w:sz w:val="18"/>
                <w:szCs w:val="18"/>
                <w:rtl/>
              </w:rPr>
              <w:t>لأدناها وما فيها دني</w:t>
            </w:r>
            <w:r w:rsidRPr="00A23EF5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EF5" w:rsidRPr="00A23EF5" w:rsidRDefault="00A23EF5" w:rsidP="00A23EF5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A23EF5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A23EF5" w:rsidRPr="00A23EF5" w:rsidRDefault="00A23EF5" w:rsidP="00A23EF5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A23EF5">
              <w:rPr>
                <w:rFonts w:cs="AGA Furat Regular"/>
                <w:b/>
                <w:bCs/>
                <w:sz w:val="18"/>
                <w:szCs w:val="18"/>
                <w:rtl/>
              </w:rPr>
              <w:t>ليركضوا ثم يركض لن يصار</w:t>
            </w:r>
            <w:r w:rsidRPr="00A23EF5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A23EF5" w:rsidRPr="00A23EF5" w:rsidRDefault="00A23EF5" w:rsidP="00A23EF5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2"/>
          <w:sz w:val="18"/>
          <w:szCs w:val="18"/>
          <w:lang w:bidi="ar-EG"/>
        </w:rPr>
      </w:pP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فابن مجاهد يرفض أكثر القراءات الشاذة ويقبل بعضها، وهو في هذا لا يخرج عن مذاهب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النحاة، بل لا يخرج عن منهج المتعصبين منهم كأبي حاتم السجستاني، وكان عليه وهو عالم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القراءات أن يقف غير هذا الموقف،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فلا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lastRenderedPageBreak/>
        <w:t>يُخضع هذا الأثر المتماسك في نقله وقوته لمقياسه النحوي الضيق، بل يقبله ويوسع له؛ لأن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طائفة من العلماء كانوا بالأمس يؤمون المسلمين به في الصلاة قبل أن تظهر مقاييسه،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ولأنه أثر عن العرب متماسك الرواية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على أن جهود ابن مجاهد نحوية في الشواذ، والتي كانت كثيرة ومباشرة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تجعلنا نعتقد أن ابن مجاهد هو أول من تصدَّى للكشف عن وجوه القراءات الشاذة في كتاب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مستقل، أو ربما جعل هذه التوجيهات إلى جانب الشواذ التي جمعها في كتاب، واعتمد عليه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ابن جني، وهو الأرجح، ولكن ضعف خبرته النحوية، وقلة اطلاعه على لغات العرب، ومذاهبهم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حال دون شهرته، وأفسح المجال واسعًا لكتاب ابن جني بعده</w:t>
      </w:r>
      <w:r w:rsidRPr="00A23EF5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.</w:t>
      </w:r>
    </w:p>
    <w:p w:rsidR="00A23EF5" w:rsidRPr="00A23EF5" w:rsidRDefault="00A23EF5" w:rsidP="00A23EF5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A23EF5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A23EF5" w:rsidRPr="00A23EF5" w:rsidRDefault="00A23EF5" w:rsidP="00A23EF5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A23EF5" w:rsidRPr="00A23EF5" w:rsidRDefault="00A23EF5" w:rsidP="00A23EF5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A23EF5" w:rsidRPr="00A23EF5" w:rsidRDefault="00A23EF5" w:rsidP="00A23EF5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A23EF5" w:rsidRPr="00A23EF5" w:rsidRDefault="00A23EF5" w:rsidP="00A23EF5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A23EF5" w:rsidRPr="00A23EF5" w:rsidRDefault="00A23EF5" w:rsidP="00A23EF5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A23EF5" w:rsidRPr="00A23EF5" w:rsidRDefault="00A23EF5" w:rsidP="00A23EF5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A23EF5" w:rsidRPr="00A23EF5" w:rsidRDefault="00A23EF5" w:rsidP="00A23EF5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A23EF5" w:rsidRPr="00A23EF5" w:rsidRDefault="00A23EF5" w:rsidP="00A23EF5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A23EF5" w:rsidRPr="00A23EF5" w:rsidRDefault="00A23EF5" w:rsidP="00A23EF5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A23EF5" w:rsidRPr="00A23EF5" w:rsidRDefault="00A23EF5" w:rsidP="00A23EF5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A23EF5" w:rsidRPr="00A23EF5" w:rsidRDefault="00A23EF5" w:rsidP="00A23EF5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A23EF5" w:rsidRPr="00A23EF5" w:rsidRDefault="00A23EF5" w:rsidP="00A23EF5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A23EF5" w:rsidRPr="00A23EF5" w:rsidRDefault="00A23EF5" w:rsidP="00A23EF5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A23EF5" w:rsidRPr="00A23EF5" w:rsidRDefault="00A23EF5" w:rsidP="00A23EF5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A23EF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A23EF5" w:rsidRPr="00A23EF5" w:rsidRDefault="00A23EF5" w:rsidP="00A23EF5">
      <w:pPr>
        <w:rPr>
          <w:rFonts w:hint="cs"/>
          <w:b/>
          <w:bCs/>
          <w:sz w:val="18"/>
          <w:szCs w:val="18"/>
        </w:rPr>
      </w:pPr>
    </w:p>
    <w:p w:rsidR="00A23EF5" w:rsidRPr="00A23EF5" w:rsidRDefault="00A23EF5" w:rsidP="00A23EF5">
      <w:pPr>
        <w:rPr>
          <w:b/>
          <w:bCs/>
          <w:sz w:val="18"/>
          <w:szCs w:val="18"/>
        </w:rPr>
      </w:pPr>
    </w:p>
    <w:p w:rsidR="00A23EF5" w:rsidRPr="00A23EF5" w:rsidRDefault="00A23EF5" w:rsidP="00A23EF5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A23EF5" w:rsidRPr="00A23EF5" w:rsidRDefault="00A23EF5" w:rsidP="00A23EF5">
      <w:pPr>
        <w:rPr>
          <w:b/>
          <w:bCs/>
          <w:sz w:val="18"/>
          <w:szCs w:val="18"/>
        </w:rPr>
      </w:pPr>
    </w:p>
    <w:p w:rsidR="00A23EF5" w:rsidRDefault="00A23EF5" w:rsidP="00A23EF5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A23EF5" w:rsidSect="00A23EF5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4219C3" w:rsidRPr="00A23EF5" w:rsidRDefault="004219C3" w:rsidP="00A23EF5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4219C3" w:rsidRPr="00A23EF5" w:rsidSect="00A23EF5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23EF5"/>
    <w:rsid w:val="001A2769"/>
    <w:rsid w:val="004168A0"/>
    <w:rsid w:val="004219C3"/>
    <w:rsid w:val="004A286F"/>
    <w:rsid w:val="00A2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E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23EF5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A23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3668</Characters>
  <Application>Microsoft Office Word</Application>
  <DocSecurity>0</DocSecurity>
  <Lines>30</Lines>
  <Paragraphs>8</Paragraphs>
  <ScaleCrop>false</ScaleCrop>
  <Company>Fannan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2013-06-16T14:59:00Z</dcterms:created>
  <dcterms:modified xsi:type="dcterms:W3CDTF">2013-06-16T15:06:00Z</dcterms:modified>
</cp:coreProperties>
</file>