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76" w:rsidRDefault="00806876" w:rsidP="00806876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806876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الإمام الزجاجي، وأبو جعفر النحاس</w:t>
      </w:r>
    </w:p>
    <w:p w:rsidR="00806876" w:rsidRPr="00F7753E" w:rsidRDefault="00806876" w:rsidP="00806876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806876" w:rsidRPr="00426F7E" w:rsidRDefault="00806876" w:rsidP="0080687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06876" w:rsidRPr="00426F7E" w:rsidRDefault="00806876" w:rsidP="0080687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06876" w:rsidRPr="00426F7E" w:rsidRDefault="00806876" w:rsidP="0080687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06876" w:rsidRPr="00426F7E" w:rsidRDefault="00806876" w:rsidP="00806876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06876" w:rsidRDefault="00806876" w:rsidP="00806876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806876" w:rsidRPr="00426F7E" w:rsidRDefault="00806876" w:rsidP="00806876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806876" w:rsidRDefault="00806876" w:rsidP="00806876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06876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06876" w:rsidRPr="00806876" w:rsidRDefault="00806876" w:rsidP="00806876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06876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الزجاجي، وأبو جعفر النحاس</w:t>
      </w:r>
    </w:p>
    <w:p w:rsidR="00806876" w:rsidRPr="00806876" w:rsidRDefault="00806876" w:rsidP="00806876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06876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06876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الزجاجى، النحاس، جعفر</w:t>
      </w:r>
    </w:p>
    <w:p w:rsidR="00806876" w:rsidRPr="00806876" w:rsidRDefault="00806876" w:rsidP="00806876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06876" w:rsidRPr="00806876" w:rsidRDefault="00806876" w:rsidP="00806876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06876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الزجاجي، وأبو جعفر النحاس</w:t>
      </w:r>
    </w:p>
    <w:p w:rsidR="00806876" w:rsidRPr="00806876" w:rsidRDefault="00806876" w:rsidP="00806876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06876" w:rsidRPr="00806876" w:rsidRDefault="00806876" w:rsidP="00806876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06876" w:rsidRPr="00806876" w:rsidRDefault="00806876" w:rsidP="00806876">
      <w:pPr>
        <w:pStyle w:val="NormalWeb"/>
        <w:bidi/>
        <w:spacing w:before="0" w:beforeAutospacing="0" w:after="0" w:afterAutospacing="0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الإمام الزجاجي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</w:p>
    <w:p w:rsidR="00806876" w:rsidRPr="00806876" w:rsidRDefault="00806876" w:rsidP="0080687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عبد الرحمن بن إسحاق المتوفى سنة سبع وثلاثين بعد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الثلاثمائة للهجرة، وهذا الرجل نحوي معتدل، لم يطعن كأستاذه الزجاج على القراءات، بل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كان الزجاج يحترمها، ويخرجها على مذاهب العربية، وهو في موقفه من الشواذ لا يقل حماسة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عن موقفه من القراءات المشروعة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وهو يُخرج قراءة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ولكن كانوا هم الظالمون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كغيره من النحاة على الابتداء والخبر، من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دون أن يشير إلى مخالفتها للرسم، انظر كتابه (الجمل) ص 153، ويجعل قراءة أنس بن مالك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فبذلك فلتفرحوا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التي رفضها أغلب النحاة لغة جيدة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أبو جعفر النحاس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ننتقل إلى أبي جعفر النحاس: أحمد بن محمد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ثمان وثلاثين بعد المائة الثالثة، ونقف في هذا القرن عند نحوي مصري جمع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بين علمي النحاة والقراءات، وألف فيهما كتبًا قيمة، منها (معاني القرآن)، ومنها (إعراب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القرآن)، وفي هذا الأخير أي: (إعراب القرآن) أدار الرجل بحثه النحوي حول طائفة كبيرة من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آيات القرآن الكريم، وقراءاته، باسطًا خلالها آراء من تقدمه من نحاة البصرة والكوفة،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ومن تتلمذ عليهم في العراق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أعلن أبو جعفر مذهبه في النظر إلى القراءات، فقال: فالقراءة التي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قرأ بها الجماعة لا يجوز الطعن عليها،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وكأنه يجيز الطعن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على ما لم يتوفر له الإجماع، وأعلن أيضًا أنه لا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يجوز أن نميز بين وجوه القراءات فنقول: هذه أولى من غيرها، أو أجود من غيرها، فهل كان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وافيًا لما أعلنه، لم يستطع أبو جعفر في كتابه أن يتخلص من استبداد المنهج النحوي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في نظرته إلى القراءات، شأنه في ذلك شأن أغلب النحاة، فقد سعى إلى الأشهر، وحاول أن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يرتفع بأسلوب القرآن عن الروايات البعيدة، أو الضرائر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فقاده هذا المنهج إلى تجاوز ما أعلنه بحق القراءات المجمع عليها، بل الشاذة النادرة؛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إذ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وصف بعض القراءات المشهورة المجمع عليها باللحن والغلط،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والبعد الشديد،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وعدم الجواز، وميز بين القراءات فقال: هذه أجود، وهذه أولى، وهذه أبين، وهذه أحسن، وشذذ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كثيرًا من القراءات بسبب ضعف وجهها النحوي، ورفض أغلب القراءات الشاذة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كان كتاب (إعراب القرآن) للنحاس سجل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 حافلًا بهذه الشواذ التي رواها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العلماء، أو التي انفرد بنقلها النحاس، كما كان مجمعًا خصبًا لآراء النحاة المتقدمين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وتخريجاتها، وقد أفاد النحاس من هذه الآراء جميعًا، كما أفاد من منهجها وشواهدها، فأيد ببعضها آراءه، وساق بعضها الآخر بأمانة تامة،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وحاور بعضها وأدحضه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فأثرت بذلك القراءات الشاذة بالوجوه، وكان للنحاس في كل ذلك جهده ومنهجه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نسج النحاس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على منوال النحاة في تخريج الشواذ في احتجاجه لها بالقرآن، والشعر، وبلغات العرب،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وامتاز منهم بكثرة إيراده لبعضها خالية من أي تعليق مع رفض قرآنيتها، أو مشبعة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بالوجوه النحوية، ولعل هذا طبيعي لدى نحوي لم يلتزم مذهبًا خاصًّا، فاحتشدت لديه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الوجوه، وبدا في بعض الأحيان مضطربًا في رفض بعضها أو الموافقة عليها،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فكان يخرج القراءة من وجه نحوي واحد كتخريجه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لقراءة السلمي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ولا تكتموا الشهادة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على نهي الغائب، أو من وجهين كتخريجه لقراءة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الأعرج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يا جبال أوبي معه والطير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بالرفع على العطف على الجبال، أو على الضمير في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أوبي، أو من ثلاثة أوجه كتخريجه لقراءة الحسن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وإن هذه أمتكم أمة واحدة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برفع أمتكم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وأمة على حذف المبتدأ، أو على البدل، أو على خبر بعد خبر، أو من أربعة أوجه كقراءة ابن السميفع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مالكَ يومَ الدين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بالنصب على المدح، أو على النداء، أو على الحال، أو على النعت على قراءة من نصب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رب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العالمين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أو من خمسة أوجه كتخريجه لقراءة أبي </w:t>
      </w:r>
      <w:r w:rsidRPr="00806876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هذا بعلي شيخ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على جعل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بعلي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شيخ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خبرًا واحدًا ل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ـ"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هذا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، وعلى حذف المبتدأ هو للخبر شيخ، وعلى البدل من بعلي،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وعلى العطف، وعلى عطف البيان، وعلى الخبر، والأول والثاني للخليل، والثالث والرابع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لسيبويه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وقد احتج النحاة لهذه القراءات </w:t>
      </w:r>
      <w:r w:rsidRPr="0080687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كما أسلفنا</w:t>
      </w:r>
      <w:r w:rsidRPr="0080687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بالقرآن، والشعر، ولغات العرب، أما القرآن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فبدت عودته إليه نادرة بالقياس إلى الشعر، ومن احتجاجه بالشعر حمله قراءة الأعمش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وَمَا كَانَ صَلَاتَهُمْ عِنْدَ الْبَيْتِ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إِلَّا مُكَاءً وَتَصْدِيَةً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بنصب الصلاة، ورفع المكاء،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وما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كان صلاتَهم عند البيت إلا مكاءٌ وتصدية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بنصب الصلاة، ورفع المكاء على قول الشاعر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9"/>
      </w:tblGrid>
      <w:tr w:rsidR="00806876" w:rsidRPr="00806876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06876" w:rsidRPr="00806876" w:rsidRDefault="00806876" w:rsidP="00806876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806876">
              <w:rPr>
                <w:rFonts w:cs="AGA Furat Regular"/>
                <w:b/>
                <w:bCs/>
                <w:sz w:val="18"/>
                <w:szCs w:val="18"/>
                <w:rtl/>
              </w:rPr>
              <w:t>ولا يك موقف منك الوداع</w:t>
            </w:r>
            <w:r w:rsidRPr="00806876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الوداع؛ حيث جاء اسم كان نكرة، وخبرها معرفة،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وأما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لغات العرب فقد بدت لغة تميم هي الأظهر بين اللغات التي استعان بها، كما استعان بلغة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بعض بني أسد، وبني ربيعة، وقيس،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والحارث بن سامة، فقراءة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الحمد لله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بالنصب لغة قيس والحارث بن سامة، وقراءة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حيث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بالكسر لغة بني أسد، والنحاس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كالطبري لا يُحسن الظن كثيرًا بهذه الشواذ، ويفضل عليها وجوه القراءات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المشهورة إذا لمس فيها ضعفًا أو بعدًا، بل يسرع إلى الطعن عليها في أغلب الأحيان،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فالرفع في قراءة الحمد لله أجود من النصب من جهة اللفظ والمعنى، وهو يقول في قراءات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الجمهور غالبًا الوجه كذا، والأكثر في كلام العرب كذا، والقراءة كذا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أما قراءة أبي جعفر يزيد بن القعقاع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للملائكة اسجدوا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بضم التاء، فلحن لا تجوز،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وقراءة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وقولوا للناس حسنًا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لا تجوز في العربية، وتلك القراءة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ضعيفة، وهذه بعيدة، وهذه لا تجوز إلا في الشعر، وقد أكثر أبو جعفر من تلحين القراءات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الشاذة ووصفها بالبعد على نحو فاق فيه طعون النحاة جميعًا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وقد اعتمد النحاس في جهوده على آراء النحاة المتقدمين، وشواهدهم اعتمادًا واضحًا،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وكان يشير في الغالب إلى هذه النقول، وينسبها إلى أصحابها، فإليه يعود الفضل في نقل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معظم تلك الآراء، وهو يكتفي أحيانًا لتخريج القراءة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lastRenderedPageBreak/>
        <w:t>الشاذة بقول: نحوي واحد، وهذا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القول قد يكون لأبي عمرو بن العلاء، أو الكسائي، أو الفراء، أو الأخفش، أو يعقوب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الحضرمي، أو أبي حاتم السجستاني، أو المبرد، أو الزجاج، أو ابن كيسان، وقد يورد رأيين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لنحويين مختلفين من دون أن يتدخل أيضًا، فإيراده في قراءة ابن أبي إسحاق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فله جزاء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الحسنى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بنصب جزاء، وتنوينه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رأي الفراء بنصبها على التمييز،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ورأي الزجاج بنصبها على الحال</w:t>
      </w:r>
      <w:r w:rsidRPr="0080687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وقد يورد أكثر من رأيين من دون أن يفصل بين هذه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الآراء، أو يقطع بواحد منها،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ولكن هذا لا يعني أنه كان دائمًا يكتفي بهذه النقول، بل كان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يناقشها، ويرد كثيرًا منها، ولا سيما آراء أبي حاتم السجستاني، فقد رد قول أبي عمرو في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قراءة مجاهد،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أو لم نهد للذين يرثون الأرض من بعد أهلها ألو نشاء أصبناهم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بأنها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محال، وذهب إلى أن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في محل نصب على حذف اللام، وخالف سيبويه في تفضيله وجه نصب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والسارقَ والسارقةَ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، وذهب إلى أن الرفع أولى؛ لأنه لا يقصد سارقًا محددًا، كما ردَّ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بعض أقوال الفراء منها: أن الفراء أجاز نصب شهر رمضان على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 تصوموا </w:t>
      </w:r>
      <w:r w:rsidRPr="00806876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شهر رمضان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، فلم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يقبل النحاس ذلك، وخرج النصب على الإغراء، وردَّ أيضًا كثيرًا من أقوال أبي حاتم؛ فقد رفض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قوله في توجيه قراءة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ذو القوةِ المتينِ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بجر المتين على الجوار قائلًا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والجوار لا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</w:rPr>
        <w:t>يقع في القرآن، وفي كلام فصيح، وعند رؤساء النحويين</w:t>
      </w:r>
      <w:r w:rsidRPr="0080687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غلط مما قاله العرب: كما رد قوله في قراءة أبي جعفر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إن كانت إلا صيحة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برفع صيحة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ينبغي ألا يجوز، وذهب إلى أن المعنى كانت عليهم صيحة إلا صيحة واحدة، وإلى جانب هذه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المواقف كان يعتدُّ بآراء المبرد والزجاج، ويرخص لهما المديح، فيقول مثلا: أحسن ما قيل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فيه قول محمد بن يزيد، والقول ما قاله أبو إسحاق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</w:pP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لقد كان النحاس نحويًّا في نظرته إلى القراءات الشاذة، يعمل فيها مقياسه،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ويسيء الظن بكثير من وجوهها من دون أن يتذكر أنها قراءات، وهو في ذلك لا يخرج على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مذهب أساتذته نحاة العراق، أو غير نحاة العراق، ولا أدل على ذلك من أنه كان مثلهم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يُجيز الكثير من الوجوه النحوية التي لم تبلغه قراءات، وهي قراءات شاذة</w:t>
      </w:r>
      <w:r w:rsidRPr="0080687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06876" w:rsidRPr="00806876" w:rsidRDefault="00806876" w:rsidP="00806876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06876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06876" w:rsidRPr="00806876" w:rsidRDefault="00806876" w:rsidP="00806876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الفتح عثمان بن جني،  بتحقيق علي النجدي ناصف وزميليه، القاهرة، طبعة المجلس الأعلى للشئون الإسلامية، 1994م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06876" w:rsidRPr="00806876" w:rsidRDefault="00806876" w:rsidP="00806876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06876" w:rsidRPr="00806876" w:rsidRDefault="00806876" w:rsidP="00806876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06876" w:rsidRPr="00806876" w:rsidRDefault="00806876" w:rsidP="0080687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06876" w:rsidRPr="00806876" w:rsidRDefault="00806876" w:rsidP="00806876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06876" w:rsidRPr="00806876" w:rsidRDefault="00806876" w:rsidP="00806876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06876" w:rsidRPr="00806876" w:rsidRDefault="00806876" w:rsidP="0080687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06876" w:rsidRPr="00806876" w:rsidRDefault="00806876" w:rsidP="00806876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0687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06876" w:rsidRPr="00806876" w:rsidRDefault="00806876" w:rsidP="00806876">
      <w:pPr>
        <w:rPr>
          <w:rFonts w:hint="cs"/>
          <w:b/>
          <w:bCs/>
          <w:sz w:val="18"/>
          <w:szCs w:val="18"/>
        </w:rPr>
      </w:pPr>
    </w:p>
    <w:p w:rsidR="00806876" w:rsidRPr="00806876" w:rsidRDefault="00806876" w:rsidP="00806876">
      <w:pPr>
        <w:rPr>
          <w:b/>
          <w:bCs/>
          <w:sz w:val="18"/>
          <w:szCs w:val="18"/>
        </w:rPr>
      </w:pPr>
    </w:p>
    <w:p w:rsidR="00806876" w:rsidRPr="00806876" w:rsidRDefault="00806876" w:rsidP="00806876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06876" w:rsidRPr="00806876" w:rsidRDefault="00806876" w:rsidP="00806876">
      <w:pPr>
        <w:rPr>
          <w:b/>
          <w:bCs/>
          <w:sz w:val="18"/>
          <w:szCs w:val="18"/>
        </w:rPr>
      </w:pPr>
    </w:p>
    <w:p w:rsidR="00806876" w:rsidRDefault="00806876" w:rsidP="00806876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806876" w:rsidSect="00806876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4219C3" w:rsidRPr="00806876" w:rsidRDefault="004219C3" w:rsidP="00806876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806876" w:rsidSect="00806876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06876"/>
    <w:rsid w:val="001A2769"/>
    <w:rsid w:val="004168A0"/>
    <w:rsid w:val="004219C3"/>
    <w:rsid w:val="004A286F"/>
    <w:rsid w:val="0080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87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06876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806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6814</Characters>
  <Application>Microsoft Office Word</Application>
  <DocSecurity>0</DocSecurity>
  <Lines>56</Lines>
  <Paragraphs>15</Paragraphs>
  <ScaleCrop>false</ScaleCrop>
  <Company>Fannan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2013-06-16T14:59:00Z</dcterms:created>
  <dcterms:modified xsi:type="dcterms:W3CDTF">2013-06-16T15:04:00Z</dcterms:modified>
</cp:coreProperties>
</file>