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81" w:rsidRDefault="00DB0681" w:rsidP="00DB0681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DB0681">
        <w:rPr>
          <w:rFonts w:asciiTheme="majorBidi" w:eastAsia="Calibri" w:hAnsiTheme="majorBidi" w:cstheme="majorBidi"/>
          <w:b/>
          <w:bCs/>
          <w:sz w:val="48"/>
          <w:szCs w:val="48"/>
          <w:rtl/>
        </w:rPr>
        <w:t>الإمام السيرافي، وابن خالويه</w:t>
      </w:r>
    </w:p>
    <w:p w:rsidR="00DB0681" w:rsidRDefault="00DB0681" w:rsidP="00DB0681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</w:p>
    <w:p w:rsidR="00DB0681" w:rsidRPr="00F7753E" w:rsidRDefault="00DB0681" w:rsidP="00DB0681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DB0681" w:rsidRPr="00426F7E" w:rsidRDefault="00DB0681" w:rsidP="00DB0681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DB0681" w:rsidRPr="00426F7E" w:rsidRDefault="00DB0681" w:rsidP="00DB0681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DB0681" w:rsidRPr="00426F7E" w:rsidRDefault="00DB0681" w:rsidP="00DB0681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DB0681" w:rsidRPr="00426F7E" w:rsidRDefault="00DB0681" w:rsidP="00DB0681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DB0681" w:rsidRDefault="00DB0681" w:rsidP="00DB0681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7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DB0681" w:rsidRPr="00426F7E" w:rsidRDefault="00DB0681" w:rsidP="00DB0681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DB0681" w:rsidRDefault="00DB0681" w:rsidP="00DB0681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DB0681" w:rsidSect="00DB0681">
          <w:headerReference w:type="even" r:id="rId8"/>
          <w:pgSz w:w="11906" w:h="16838" w:code="9"/>
          <w:pgMar w:top="993" w:right="1416" w:bottom="993" w:left="1843" w:header="720" w:footer="720" w:gutter="0"/>
          <w:cols w:space="720"/>
          <w:titlePg/>
          <w:bidi/>
          <w:rtlGutter/>
          <w:docGrid w:linePitch="360"/>
        </w:sectPr>
      </w:pPr>
    </w:p>
    <w:p w:rsidR="00DB0681" w:rsidRPr="00DB0681" w:rsidRDefault="00DB0681" w:rsidP="00DB0681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الخلاصة – هذا البحث يبحث فى</w:t>
      </w:r>
      <w:r w:rsidRPr="00DB0681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</w:t>
      </w:r>
      <w:r w:rsidRPr="00DB0681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الإمام السيرافي، وابن خالويه</w:t>
      </w:r>
    </w:p>
    <w:p w:rsidR="00DB0681" w:rsidRPr="00DB0681" w:rsidRDefault="00DB0681" w:rsidP="00DB0681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DB0681" w:rsidRPr="00DB0681" w:rsidRDefault="00DB0681" w:rsidP="00DB0681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DB0681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DB0681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السيرافى، الحسن، خالويه</w:t>
      </w:r>
    </w:p>
    <w:p w:rsidR="00DB0681" w:rsidRPr="00DB0681" w:rsidRDefault="00DB0681" w:rsidP="00DB0681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DB0681" w:rsidRPr="00DB0681" w:rsidRDefault="00DB0681" w:rsidP="00DB0681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DB0681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الإمام السيرافي، وابن خالويه</w:t>
      </w:r>
    </w:p>
    <w:p w:rsidR="00DB0681" w:rsidRPr="00DB0681" w:rsidRDefault="00DB0681" w:rsidP="00DB0681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DB0681" w:rsidRPr="00DB0681" w:rsidRDefault="00DB0681" w:rsidP="00DB0681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DB0681" w:rsidRPr="00DB0681" w:rsidRDefault="00DB0681" w:rsidP="00DB0681">
      <w:pPr>
        <w:pStyle w:val="NormalWeb"/>
        <w:bidi/>
        <w:spacing w:before="0" w:before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السيرافي:</w:t>
      </w:r>
    </w:p>
    <w:p w:rsidR="00DB0681" w:rsidRPr="00DB0681" w:rsidRDefault="00DB0681" w:rsidP="00DB068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السيرافي</w:t>
      </w:r>
      <w:r w:rsidRPr="00DB0681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أبو سعيد الحسن بن عبد الله المتوفى سنة ثمان وستين بعد المائة الثالثة يُعدُّ السيرافي من أشهر من شرح كتاب سيبويه، وهو أحد الذين قرءوا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على ابن مجاهد، وتدل آراؤه في القراءات </w:t>
      </w:r>
      <w:r w:rsidRPr="00DB0681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وهي قليلة</w:t>
      </w:r>
      <w:r w:rsidRPr="00DB0681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على اعتصامه بالمقياس النحوي في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توضيح جوانب العربية من دون تفرقة بين قراءة صحيحة أو شاذة،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فالقراءات عنده لا يجوز إبطالها إلا إذا نقضت أصلًا نحويًّا أو صرفيًّا،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فهو يجيز بقراءة ابن مسعود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وأنزل الملائكة تنزيلًا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المخالفة للرسم أن يكون أنزل ونزل بمعنى واحد، ويرفض قراءة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فنظرة إلى ميسرة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؛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لأن مفعُل لا يجوز في الكلام قال: وهو منكر ليس في الكلام مفعُل، وكذا سبيله في كل ما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يعرض له من قراءات على أن سبيل التسليم هو الأظهر لديه،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فيما وقع لنا من توجيهاته، وهي مواقف يدور معظمها حول جوانب صرفية وصوتية، هذا ما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ذكرناه عن السيرافي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B0681" w:rsidRPr="00DB0681" w:rsidRDefault="00DB0681" w:rsidP="00DB0681">
      <w:pPr>
        <w:pStyle w:val="NormalWeb"/>
        <w:bidi/>
        <w:spacing w:before="0" w:before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</w:rPr>
      </w:pP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ابن خالويه</w:t>
      </w:r>
      <w:r w:rsidRPr="00DB0681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</w:p>
    <w:p w:rsidR="00DB0681" w:rsidRPr="00DB0681" w:rsidRDefault="00DB0681" w:rsidP="00DB068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ننتقل إلى ابن خالويه: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لابن خالويه منهج واضح، وجهود نحوية مباشرة في القراءات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الشاذة، فقد جمع القراءات التي خرجت على مقياسه في كتاب (مختصر في شواذ القراءات) من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كتاب (البديع</w:t>
      </w:r>
      <w:r w:rsidRPr="00DB0681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، وراح يخرّج منها ما عنَّ في خاطره،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كما تعرض في كتابه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(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إعراب ثلاثين سورة من القرآن) للحديث عن وجوه الشواذ فيهم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مستعينًا في كلا الكتابين بآراء من تقدمه من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النحاة، وبنقوله عن أساتذته كابن مجاهد وابن الأنباري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B0681" w:rsidRPr="00DB0681" w:rsidRDefault="00DB0681" w:rsidP="00DB068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إن ابن خالويه يؤمن إيمانًا عميقًا بأن القراءة سنة لا تُحمل على قياس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العربية، وأن القراءة بالشواذ لا تجوز، ولكنه كان يحاول جاهدًا أن يجد لها الوجه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النحوي المناسب يُظاهره على ذلك مقدرة في ميزان اللغة، وقد غلب على ابن خالويه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الإيجاز الشديد في العبارة التي يوجه بها القراءة الشاذة،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وقد غلب على ابن خالويه الإيجاز الشديد في العبارة التي يوجه بها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القراءة الشاذة، كما غلب عليه الاكتفاء برأي نحوي خاطف، فقد خرَّج قراءة بعضهم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فِي كُلِّ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سُنْبُلَةٍ مِائَةَ حَبَّةٍ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بنصب مائة على حذف فعل أنبتت، وخرج قراءة الحسن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وامسحوا برءوسكم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وأرجلكم إلى الكعبين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على حذف الخبر وقدره بـ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وأرجلكم غسلها إلى الكعبين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B0681" w:rsidRPr="00DB0681" w:rsidRDefault="00DB0681" w:rsidP="00DB068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كما خرج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قراءات أخرى، ونادرًا ما يأتي للقراءة بوجهين كقوله في قراءة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أغناهم الله ورسوله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بنصب رسوله، جائز أن يعطفه على الهاء أي: أغناهم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الله وأغنى رسوله، وجائز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أن يجعل الواو بمعنى مع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DB0681" w:rsidRPr="00DB0681" w:rsidRDefault="00DB0681" w:rsidP="00DB068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وقد استعان ابن خالويه لتخريج هذه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الشواذ بالقراءات الشاذة نفسها حينًا، وبالحديث النبوي مرة واحدة، وبالشعر وبلغات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العرب؛ فقراءة أبي رجاء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"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ومن فوقهم غواش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مثل 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lastRenderedPageBreak/>
        <w:t>قراءة الحسن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"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إلا من هو صالُ الجحيم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"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،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ومثل قراءة ابن مسعود أيضًا 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"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وله الجوارُ المنشآت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والقراءات الثلاث شواذ، وقراءة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النبي </w:t>
      </w:r>
      <w:r w:rsidRPr="00DB0681">
        <w:rPr>
          <w:rFonts w:ascii="AGA Arabesque" w:hAnsi="AGA Arabesque" w:cs="Simplified Arabic"/>
          <w:b/>
          <w:bCs/>
          <w:spacing w:val="-4"/>
          <w:position w:val="-4"/>
          <w:sz w:val="18"/>
          <w:szCs w:val="18"/>
        </w:rPr>
        <w:t>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"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ما ودعك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مثل حديثه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((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إن شر الناس منزلة يوم القيامة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من ودعه الناس اتقاء فحشه</w:t>
      </w:r>
      <w:r w:rsidRPr="00DB068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)).</w:t>
      </w:r>
    </w:p>
    <w:p w:rsidR="00DB0681" w:rsidRPr="00DB0681" w:rsidRDefault="00DB0681" w:rsidP="00DB068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وقد استشهد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ابن خالويه بالشعر لهذه القراءات أحيانًا، ولم يتجاوز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في ذلك الشاهدين كاستشهاده لقراءة عيسى بن عمر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فصبرًا جميلًا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بقول الراجز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09"/>
      </w:tblGrid>
      <w:tr w:rsidR="00DB0681" w:rsidRPr="00DB0681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DB0681" w:rsidRPr="00DB0681" w:rsidRDefault="00DB0681" w:rsidP="00DB0681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DB0681">
              <w:rPr>
                <w:rFonts w:cs="AGA Furat Regular"/>
                <w:b/>
                <w:bCs/>
                <w:sz w:val="18"/>
                <w:szCs w:val="18"/>
                <w:rtl/>
              </w:rPr>
              <w:t>يشكو إلي جملي طول السر</w:t>
            </w:r>
            <w:r w:rsidRPr="00DB0681">
              <w:rPr>
                <w:rFonts w:cs="AGA Furat Regular" w:hint="cs"/>
                <w:b/>
                <w:bCs/>
                <w:sz w:val="18"/>
                <w:szCs w:val="18"/>
                <w:rtl/>
              </w:rPr>
              <w:t>ى</w:t>
            </w:r>
            <w:r w:rsidRPr="00DB0681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  <w:tr w:rsidR="00DB0681" w:rsidRPr="00DB0681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DB0681" w:rsidRPr="00DB0681" w:rsidRDefault="00DB0681" w:rsidP="00DB0681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DB0681">
              <w:rPr>
                <w:rFonts w:cs="AGA Furat Regular"/>
                <w:b/>
                <w:bCs/>
                <w:sz w:val="18"/>
                <w:szCs w:val="18"/>
                <w:rtl/>
              </w:rPr>
              <w:t>صبرًا جميلًا فكلانا مبتلى</w:t>
            </w:r>
            <w:r w:rsidRPr="00DB0681">
              <w:rPr>
                <w:rFonts w:cs="AGA Furat Regular" w:hint="cs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DB0681" w:rsidRPr="00DB0681" w:rsidRDefault="00DB0681" w:rsidP="00DB068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وبقول العجاج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09"/>
      </w:tblGrid>
      <w:tr w:rsidR="00DB0681" w:rsidRPr="00DB0681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</w:tcPr>
          <w:p w:rsidR="00DB0681" w:rsidRPr="00DB0681" w:rsidRDefault="00DB0681" w:rsidP="00DB0681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DB0681">
              <w:rPr>
                <w:rFonts w:cs="AGA Furat Regular"/>
                <w:b/>
                <w:bCs/>
                <w:sz w:val="18"/>
                <w:szCs w:val="18"/>
                <w:rtl/>
              </w:rPr>
              <w:t>أطربًا وأنت قن</w:t>
            </w:r>
            <w:r w:rsidRPr="00DB0681">
              <w:rPr>
                <w:rFonts w:cs="AGA Furat Regular" w:hint="cs"/>
                <w:b/>
                <w:bCs/>
                <w:sz w:val="18"/>
                <w:szCs w:val="18"/>
                <w:rtl/>
              </w:rPr>
              <w:t>س</w:t>
            </w:r>
            <w:r w:rsidRPr="00DB0681">
              <w:rPr>
                <w:rFonts w:cs="AGA Furat Regular"/>
                <w:b/>
                <w:bCs/>
                <w:sz w:val="18"/>
                <w:szCs w:val="18"/>
                <w:rtl/>
              </w:rPr>
              <w:t>ري</w:t>
            </w:r>
            <w:r w:rsidRPr="00DB0681">
              <w:rPr>
                <w:rFonts w:cs="AGA Furat Regular" w:hint="cs"/>
                <w:b/>
                <w:bCs/>
                <w:sz w:val="18"/>
                <w:szCs w:val="18"/>
                <w:rtl/>
              </w:rPr>
              <w:br/>
            </w:r>
          </w:p>
        </w:tc>
      </w:tr>
      <w:tr w:rsidR="00DB0681" w:rsidRPr="00DB0681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</w:tcPr>
          <w:p w:rsidR="00DB0681" w:rsidRPr="00DB0681" w:rsidRDefault="00DB0681" w:rsidP="00DB0681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</w:rPr>
            </w:pPr>
            <w:r w:rsidRPr="00DB0681">
              <w:rPr>
                <w:rFonts w:cs="AGA Furat Regular"/>
                <w:b/>
                <w:bCs/>
                <w:sz w:val="18"/>
                <w:szCs w:val="18"/>
                <w:rtl/>
              </w:rPr>
              <w:t>والدهر بالإنسان د</w:t>
            </w:r>
            <w:r w:rsidRPr="00DB0681">
              <w:rPr>
                <w:rFonts w:cs="AGA Furat Regular" w:hint="cs"/>
                <w:b/>
                <w:bCs/>
                <w:sz w:val="18"/>
                <w:szCs w:val="18"/>
                <w:rtl/>
              </w:rPr>
              <w:t>و</w:t>
            </w:r>
            <w:r w:rsidRPr="00DB0681">
              <w:rPr>
                <w:rFonts w:cs="AGA Furat Regular"/>
                <w:b/>
                <w:bCs/>
                <w:sz w:val="18"/>
                <w:szCs w:val="18"/>
                <w:rtl/>
              </w:rPr>
              <w:t>اري</w:t>
            </w:r>
            <w:r w:rsidRPr="00DB0681">
              <w:rPr>
                <w:rFonts w:cs="AGA Furat Regular" w:hint="cs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DB0681" w:rsidRPr="00DB0681" w:rsidRDefault="00DB0681" w:rsidP="00DB068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واستعان أيضًا ابن خالويه بلغات العرب، ولكن إشاراته إليها كانت عامة في الغالب؛ إذ أكثر من قوله وهو لغة أو لغات، وقلما حدد هذه اللغة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كتحديد لبعض اللغات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اليمنية، أو لغة بني أسد فقراءة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أفُ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بالضم لغة، وقراءة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تكاد السموات تنفطرن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كقول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بعض العرب: الإبل تسمنّ؛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إذ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جُمع فيها بين علامتي التأنيث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وقراءة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ربة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لغة عربية أيضًا، وكسر الفاء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الرابطة لجواب الشرط والواو العاطفة في قراءتي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فاصطادوا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، وإن لغة بعض بني أسد،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وقراءة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عراف بعضه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يريد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عرف بعضه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لغة يمنية، وإعمال إذن من دون دلالة على المستقبل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في حرف ابن مسعود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فإذن لا يؤتوا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مثل قول العرب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فإذن لا آتي سن الحسل، والحسل ولد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الضب أي: أبدًا؛ لأن الحسل لا يلقى سنه أبدًا، فابن خالويه يسعى دائبًا لتخريج هذه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الشواذ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على لغة أو شعر أو حديث من التراث الداخل يدفعه إلى ذلك رغبة صادقة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في عدم الطعن على شيء من هذه القراءات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B0681" w:rsidRPr="00DB0681" w:rsidRDefault="00DB0681" w:rsidP="00DB068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وقد استعان ابن خالويه في توجيه هذه الشواذ بآراء بعض النحاة ولا سيما الكوفيين منهم،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وببعض الأشعار التي رووها؛ فقد استعان ببعض آراء أبي عمرو بن العلاء، والأخفش، والفراء،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وابن قتيبة، وثعلب، وأبي بكر بن الأنباري، وابن مجاهد، ولم يكن في ذلك يناقش هذه الآراء،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بل كان يسلم بها دائمًا ما خلا موضعًا واحدًا أدحض فيه رأي ابن قتيبة، الذي كَفر أبا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حيوة بقراءته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ولا يحزنك قولهم أن العزة لله جميع</w:t>
      </w:r>
      <w:r w:rsidRPr="00DB0681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بفتح أن؛ إذ ذهب فيها ابن خالويه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إلى معنى: ولا يحزنك قولهم إنكارهم أن العزة، ولعل هذا التسليم، وهذه الاستعانة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الكبيرة بآرائهم يعودان إلى ضعفه في النحو، وانصرافه إلى اللغة، التي أجاد بها تخريج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</w:rPr>
        <w:t>الوجوه</w:t>
      </w:r>
      <w:r w:rsidRPr="00DB068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B0681" w:rsidRPr="00DB0681" w:rsidRDefault="00DB0681" w:rsidP="00DB0681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DB0681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DB0681" w:rsidRPr="00DB0681" w:rsidRDefault="00DB0681" w:rsidP="00DB068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DB0681" w:rsidRPr="00DB0681" w:rsidRDefault="00DB0681" w:rsidP="00DB0681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DB0681" w:rsidRPr="00DB0681" w:rsidRDefault="00DB0681" w:rsidP="00DB068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DB0681" w:rsidRPr="00DB0681" w:rsidRDefault="00DB0681" w:rsidP="00DB068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DB0681" w:rsidRPr="00DB0681" w:rsidRDefault="00DB0681" w:rsidP="00DB068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DB0681" w:rsidRPr="00DB0681" w:rsidRDefault="00DB0681" w:rsidP="00DB0681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DB0681" w:rsidRPr="00DB0681" w:rsidRDefault="00DB0681" w:rsidP="00DB068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DB0681" w:rsidRPr="00DB0681" w:rsidRDefault="00DB0681" w:rsidP="00DB068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DB0681" w:rsidRPr="00DB0681" w:rsidRDefault="00DB0681" w:rsidP="00DB068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(القراءات الشاذة وتوجيهها النحوي) </w:t>
      </w:r>
    </w:p>
    <w:p w:rsidR="00DB0681" w:rsidRPr="00DB0681" w:rsidRDefault="00DB0681" w:rsidP="00DB068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DB0681" w:rsidRPr="00DB0681" w:rsidRDefault="00DB0681" w:rsidP="00DB068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DB0681" w:rsidRPr="00DB0681" w:rsidRDefault="00DB0681" w:rsidP="00DB0681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DB0681" w:rsidRPr="00DB0681" w:rsidRDefault="00DB0681" w:rsidP="00DB068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DB0681" w:rsidRPr="00DB0681" w:rsidRDefault="00DB0681" w:rsidP="00DB068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DB0681" w:rsidRPr="00DB0681" w:rsidRDefault="00DB0681" w:rsidP="00DB068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DB0681" w:rsidRPr="00DB0681" w:rsidRDefault="00DB0681" w:rsidP="00DB068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DB0681" w:rsidRPr="00DB0681" w:rsidRDefault="00DB0681" w:rsidP="00DB068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DB0681" w:rsidRPr="00DB0681" w:rsidRDefault="00DB0681" w:rsidP="00DB068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DB0681" w:rsidRPr="00DB0681" w:rsidRDefault="00DB0681" w:rsidP="00DB068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DB0681" w:rsidRPr="00DB0681" w:rsidRDefault="00DB0681" w:rsidP="00DB068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DB0681" w:rsidRPr="00DB0681" w:rsidRDefault="00DB0681" w:rsidP="00DB068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DB0681" w:rsidRPr="00DB0681" w:rsidRDefault="00DB0681" w:rsidP="00DB0681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DB0681" w:rsidRPr="00DB0681" w:rsidRDefault="00DB0681" w:rsidP="00DB068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DB0681" w:rsidRPr="00DB0681" w:rsidRDefault="00DB0681" w:rsidP="00DB0681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DB0681" w:rsidRPr="00DB0681" w:rsidRDefault="00DB0681" w:rsidP="00DB068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DB0681" w:rsidRPr="00DB0681" w:rsidRDefault="00DB0681" w:rsidP="00DB0681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DB0681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DB0681" w:rsidRPr="00DB0681" w:rsidRDefault="00DB0681" w:rsidP="00DB0681">
      <w:pPr>
        <w:rPr>
          <w:rFonts w:hint="cs"/>
          <w:b/>
          <w:bCs/>
          <w:sz w:val="18"/>
          <w:szCs w:val="18"/>
        </w:rPr>
      </w:pPr>
    </w:p>
    <w:p w:rsidR="00DB0681" w:rsidRPr="00DB0681" w:rsidRDefault="00DB0681" w:rsidP="00DB0681">
      <w:pPr>
        <w:rPr>
          <w:b/>
          <w:bCs/>
          <w:sz w:val="18"/>
          <w:szCs w:val="18"/>
        </w:rPr>
      </w:pPr>
    </w:p>
    <w:p w:rsidR="00DB0681" w:rsidRPr="00DB0681" w:rsidRDefault="00DB0681" w:rsidP="00DB0681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DB0681" w:rsidRPr="00DB0681" w:rsidRDefault="00DB0681" w:rsidP="00DB0681">
      <w:pPr>
        <w:rPr>
          <w:b/>
          <w:bCs/>
          <w:sz w:val="18"/>
          <w:szCs w:val="18"/>
        </w:rPr>
      </w:pPr>
    </w:p>
    <w:p w:rsidR="00DB0681" w:rsidRPr="00DB0681" w:rsidRDefault="00DB0681" w:rsidP="00DB0681">
      <w:pPr>
        <w:pStyle w:val="NormalWeb"/>
        <w:bidi/>
        <w:spacing w:before="0" w:beforeAutospacing="0" w:after="120" w:afterAutospacing="0"/>
        <w:jc w:val="center"/>
        <w:rPr>
          <w:rFonts w:cs="AL-Hotham"/>
          <w:b/>
          <w:bCs/>
          <w:sz w:val="18"/>
          <w:szCs w:val="18"/>
        </w:rPr>
        <w:sectPr w:rsidR="00DB0681" w:rsidRPr="00DB0681" w:rsidSect="00DB0681">
          <w:type w:val="continuous"/>
          <w:pgSz w:w="11906" w:h="16838" w:code="9"/>
          <w:pgMar w:top="993" w:right="1416" w:bottom="993" w:left="1843" w:header="720" w:footer="720" w:gutter="0"/>
          <w:cols w:num="2" w:space="720"/>
          <w:titlePg/>
          <w:bidi/>
          <w:rtlGutter/>
          <w:docGrid w:linePitch="360"/>
        </w:sectPr>
      </w:pPr>
    </w:p>
    <w:p w:rsidR="00DB0681" w:rsidRDefault="00DB0681" w:rsidP="00DB0681">
      <w:pPr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</w:rPr>
        <w:sectPr w:rsidR="00DB0681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DB0681" w:rsidRPr="00DB0681" w:rsidRDefault="00DB0681" w:rsidP="00DB0681">
      <w:pPr>
        <w:jc w:val="center"/>
        <w:rPr>
          <w:rFonts w:asciiTheme="majorBidi" w:eastAsia="Calibri" w:hAnsiTheme="majorBidi" w:cstheme="majorBidi"/>
          <w:b/>
          <w:bCs/>
          <w:sz w:val="48"/>
          <w:szCs w:val="48"/>
        </w:rPr>
      </w:pPr>
    </w:p>
    <w:p w:rsidR="004219C3" w:rsidRDefault="004219C3"/>
    <w:sectPr w:rsidR="004219C3" w:rsidSect="00DB0681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F3" w:rsidRDefault="008E74F3" w:rsidP="00DB0681">
      <w:r>
        <w:separator/>
      </w:r>
    </w:p>
  </w:endnote>
  <w:endnote w:type="continuationSeparator" w:id="1">
    <w:p w:rsidR="008E74F3" w:rsidRDefault="008E74F3" w:rsidP="00DB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Granad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F3" w:rsidRDefault="008E74F3" w:rsidP="00DB0681">
      <w:r>
        <w:separator/>
      </w:r>
    </w:p>
  </w:footnote>
  <w:footnote w:type="continuationSeparator" w:id="1">
    <w:p w:rsidR="008E74F3" w:rsidRDefault="008E74F3" w:rsidP="00DB0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E9" w:rsidRDefault="008E74F3">
    <w:pPr>
      <w:pStyle w:val="Header"/>
    </w:pPr>
    <w:r>
      <w:rPr>
        <w:noProof/>
        <w:lang w:bidi="ar-SA"/>
      </w:rPr>
      <w:pict>
        <v:group id="_x0000_s1032" style="position:absolute;left:0;text-align:left;margin-left:3.5pt;margin-top:75.5pt;width:333.5pt;height:619.25pt;z-index:251661312" coordorigin="2625,2234" coordsize="6670,12385">
          <v:line id="_x0000_s1033" style="position:absolute" from="2648,14404" to="9269,14404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8512;top:14165;width:754;height:454" fillcolor="#4f81bd" stroked="f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4" inset="0,,0">
              <w:txbxContent>
                <w:p w:rsidR="00C326E9" w:rsidRPr="00907733" w:rsidRDefault="008E74F3" w:rsidP="005E730C">
                  <w:pPr>
                    <w:spacing w:line="280" w:lineRule="exact"/>
                    <w:jc w:val="center"/>
                    <w:rPr>
                      <w:rFonts w:cs="AL-Mateen" w:hint="cs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>
                    <w:rPr>
                      <w:rStyle w:val="PageNumber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188</w: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5305;top:2501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2625;top:2282;width:2551;height:397" fillcolor="#369" stroked="f">
            <v:shadow on="t" color="#b2b2b2" opacity="52429f" offset="1pt,0" offset2="-4pt,-4pt"/>
            <v:textpath style="font-family:&quot;Al-Mothnna&quot;;v-text-kern:t" trim="t" fitpath="t" string="القراءات الشاذة"/>
          </v:shape>
          <v:rect id="_x0000_s1037" style="position:absolute;left:7594;top:2234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7">
              <w:txbxContent>
                <w:p w:rsidR="00C326E9" w:rsidRPr="00E31343" w:rsidRDefault="008E74F3" w:rsidP="005E730C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8" type="#_x0000_t136" style="position:absolute;left:7736;top:2330;width:1417;height:317" stroked="f">
            <v:shadow on="t" color="black" opacity="52429f" offset="1pt,0" offset2="-4pt,-4pt"/>
            <v:textpath style="font-family:&quot;AGA Granada Regular&quot;;v-text-kern:t" trim="t" fitpath="t" string="الدرس الحادي عشر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3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B0681"/>
    <w:rsid w:val="001A2769"/>
    <w:rsid w:val="004168A0"/>
    <w:rsid w:val="004219C3"/>
    <w:rsid w:val="004A286F"/>
    <w:rsid w:val="008E74F3"/>
    <w:rsid w:val="00DB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068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B0681"/>
    <w:pPr>
      <w:bidi w:val="0"/>
      <w:spacing w:before="100" w:beforeAutospacing="1" w:after="100" w:afterAutospacing="1"/>
    </w:pPr>
    <w:rPr>
      <w:lang w:bidi="ar-SA"/>
    </w:rPr>
  </w:style>
  <w:style w:type="paragraph" w:styleId="Header">
    <w:name w:val="header"/>
    <w:basedOn w:val="Normal"/>
    <w:link w:val="HeaderChar"/>
    <w:rsid w:val="00DB06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B0681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DB0681"/>
  </w:style>
  <w:style w:type="paragraph" w:styleId="Footer">
    <w:name w:val="footer"/>
    <w:basedOn w:val="Normal"/>
    <w:link w:val="FooterChar"/>
    <w:uiPriority w:val="99"/>
    <w:semiHidden/>
    <w:unhideWhenUsed/>
    <w:rsid w:val="00DB06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681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Hyperlink">
    <w:name w:val="Hyperlink"/>
    <w:basedOn w:val="DefaultParagraphFont"/>
    <w:uiPriority w:val="99"/>
    <w:unhideWhenUsed/>
    <w:rsid w:val="00DB06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medmsamir5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4812</Characters>
  <Application>Microsoft Office Word</Application>
  <DocSecurity>0</DocSecurity>
  <Lines>40</Lines>
  <Paragraphs>11</Paragraphs>
  <ScaleCrop>false</ScaleCrop>
  <Company>Fannan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2013-06-16T14:59:00Z</dcterms:created>
  <dcterms:modified xsi:type="dcterms:W3CDTF">2013-06-16T15:04:00Z</dcterms:modified>
</cp:coreProperties>
</file>