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6A" w:rsidRDefault="00DE556A" w:rsidP="00DE556A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DE556A">
        <w:rPr>
          <w:rFonts w:asciiTheme="majorBidi" w:eastAsia="Calibri" w:hAnsiTheme="majorBidi" w:cstheme="majorBidi"/>
          <w:b/>
          <w:bCs/>
          <w:sz w:val="48"/>
          <w:szCs w:val="48"/>
          <w:rtl/>
        </w:rPr>
        <w:t>احتجاج ابن جني بالأمثال والقياس</w:t>
      </w:r>
    </w:p>
    <w:p w:rsidR="00DE556A" w:rsidRDefault="00DE556A" w:rsidP="00DE556A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DE556A" w:rsidRPr="00F7753E" w:rsidRDefault="00DE556A" w:rsidP="00DE556A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DE556A" w:rsidRPr="00F7753E" w:rsidRDefault="00DE556A" w:rsidP="00DE556A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DE556A" w:rsidRPr="00F7753E" w:rsidRDefault="00DE556A" w:rsidP="00DE556A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DE556A" w:rsidRPr="00426F7E" w:rsidRDefault="00DE556A" w:rsidP="00DE556A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DE556A" w:rsidRPr="00426F7E" w:rsidRDefault="00DE556A" w:rsidP="00DE556A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DE556A" w:rsidRPr="00426F7E" w:rsidRDefault="00DE556A" w:rsidP="00DE556A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DE556A" w:rsidRPr="00426F7E" w:rsidRDefault="00DE556A" w:rsidP="00DE556A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DE556A" w:rsidRDefault="00DE556A" w:rsidP="00DE556A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7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DE556A" w:rsidRPr="00426F7E" w:rsidRDefault="00DE556A" w:rsidP="00DE556A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DE556A" w:rsidRDefault="00DE556A" w:rsidP="00DE556A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DE556A" w:rsidSect="00DE556A">
          <w:headerReference w:type="even" r:id="rId8"/>
          <w:pgSz w:w="11906" w:h="16838" w:code="9"/>
          <w:pgMar w:top="993" w:right="566" w:bottom="993" w:left="1560" w:header="720" w:footer="720" w:gutter="0"/>
          <w:cols w:space="720"/>
          <w:titlePg/>
          <w:bidi/>
          <w:rtlGutter/>
          <w:docGrid w:linePitch="360"/>
        </w:sectPr>
      </w:pPr>
    </w:p>
    <w:p w:rsidR="00DE556A" w:rsidRPr="00DE556A" w:rsidRDefault="00DE556A" w:rsidP="00DE556A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DE556A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احتجاج ابن جني بالأمثال والقياس</w:t>
      </w:r>
    </w:p>
    <w:p w:rsidR="00DE556A" w:rsidRPr="00DE556A" w:rsidRDefault="00DE556A" w:rsidP="00DE556A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DE556A" w:rsidRPr="00DE556A" w:rsidRDefault="00DE556A" w:rsidP="00DE556A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DE556A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DE556A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الامثال، ابن جنى، القياس</w:t>
      </w:r>
    </w:p>
    <w:p w:rsidR="00DE556A" w:rsidRPr="00DE556A" w:rsidRDefault="00DE556A" w:rsidP="00DE556A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DE556A" w:rsidRPr="00DE556A" w:rsidRDefault="00DE556A" w:rsidP="00DE556A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DE556A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احتجاج ابن جني بالأمثال والقياس</w:t>
      </w:r>
    </w:p>
    <w:p w:rsidR="00DE556A" w:rsidRPr="00DE556A" w:rsidRDefault="00DE556A" w:rsidP="00DE556A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DE556A" w:rsidRPr="00DE556A" w:rsidRDefault="00DE556A" w:rsidP="00DE556A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DE556A" w:rsidRPr="00DE556A" w:rsidRDefault="00DE556A" w:rsidP="00DE556A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لم يغفل ابن جني الاحتجاج بالمثل على الشواذ، فلا يختلف مفهوم المثل عنده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عما هو عليه عند سيبويه، فهو عندهم نظام نثري خاص يجعله في مخالفاته مألوف النثر مجرى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الشعر، وقد استعان به ابن جني في تخريج بعض الشواذ، ولكنه لم يتجاوز في ذلك بعض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المواقف نذكر منها على سبيل المثال: احتجاجه لقراءة أبي جعفر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قال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قل رب احكم بالحق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بقولهم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أصبح بليل واترك كر، فقد جعل رفع رب على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حذف يا، وهو وجه ضعيف؛ لأنهم لا يجمعون بين حذف يا، والاسم الذي يجوز أن يكون وصفًا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لأي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أيضًا من الأمور التي احتج بها ابن جني على القراءات الاحتجاج بالقياس، ربما لا نضيف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جديدًا إذا قلنا: إن ابن جني كان مغرمًا بالقياس، أو الاستدلال، والاستئناس، والمشابهات،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وهو القائل: إن مسألة واحدة من القياس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أعني من كتاب لغة عند عيون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الناس، ولكن الجديد هو أن أبا الفتح استعمل هذا الجانب استغلالًا كبيرًا في تخريج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الشواذ، واستعان به في الحكم على كثير من الوجوه التي لم يؤدِّها السماع، وقد أفاد في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ذلك من اللغات المختلفة من تساند علومها، وبنى ذلك كله في قالب واحد؛ لكي يستفيد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القارئ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فلقد حمل ابن جني وجوه الشواذ على أسلوب القرآن والشعر، واللغات، وعلى بعض أقوال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العرب، كما حمل بعضها على مسائل علم العروض، وعلى أشياء أخرى، فقد حمل زيادة الباء في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اسم ليس في قراءة ابن مسعود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ليس البر بأن تولوا وجوهكم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على زيادتها في فاعل كفى من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قوله تعالى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DE556A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DE556A">
        <w:rPr>
          <w:rFonts w:ascii="QCF_P514" w:hAnsi="QCF_P514" w:cs="QCF_P514"/>
          <w:b/>
          <w:bCs/>
          <w:sz w:val="18"/>
          <w:szCs w:val="18"/>
          <w:rtl/>
        </w:rPr>
        <w:t>ﯼ ﯽ ﯾ</w:t>
      </w:r>
      <w:r w:rsidRPr="00DE556A">
        <w:rPr>
          <w:rFonts w:ascii="QCF_P514" w:hAnsi="QCF_P514" w:cs="DecoType Thuluth"/>
          <w:b/>
          <w:bCs/>
          <w:sz w:val="18"/>
          <w:szCs w:val="18"/>
          <w:rtl/>
        </w:rPr>
        <w:t>}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النساء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79]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وجعل حذف النون في قراءة ابن أبي إسحاق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وبشر المخبتين والمقيمي الصلاة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مثل حذفها في الاسم الموصول الذين في قول الأ</w:t>
      </w:r>
      <w:r w:rsidRPr="00DE556A">
        <w:rPr>
          <w:rFonts w:ascii="Simplified Arabic" w:hAnsi="Simplified Arabic" w:cs="AL-Hotham" w:hint="cs"/>
          <w:b/>
          <w:bCs/>
          <w:sz w:val="18"/>
          <w:szCs w:val="18"/>
          <w:rtl/>
        </w:rPr>
        <w:t>ش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هب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بن رميلة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10"/>
        <w:gridCol w:w="574"/>
        <w:gridCol w:w="2062"/>
      </w:tblGrid>
      <w:tr w:rsidR="00DE556A" w:rsidRPr="00DE556A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GA Furat Regular" w:hint="cs"/>
                <w:b/>
                <w:bCs/>
                <w:sz w:val="18"/>
                <w:szCs w:val="18"/>
                <w:rtl/>
              </w:rPr>
              <w:t>و</w:t>
            </w: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t>إن الذي حانت بفلج دما</w:t>
            </w:r>
            <w:r w:rsidRPr="00DE556A">
              <w:rPr>
                <w:rFonts w:cs="AGA Furat Regular" w:hint="cs"/>
                <w:b/>
                <w:bCs/>
                <w:sz w:val="18"/>
                <w:szCs w:val="18"/>
                <w:rtl/>
              </w:rPr>
              <w:t>ؤ</w:t>
            </w: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t>هم</w:t>
            </w: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t>هم القوم كل القوم يا أم خالد</w:t>
            </w: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وحمل أيضًا تخفيف أف في قراءة ابن عباس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فلا تقل لهما أف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على لغة من لغات العرب،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وقاس حذف العائد في قراءة زهير الفرقبي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DE556A">
        <w:rPr>
          <w:rFonts w:ascii="QCF_P150" w:hAnsi="QCF_P150" w:cs="QCF_P150"/>
          <w:b/>
          <w:bCs/>
          <w:sz w:val="18"/>
          <w:szCs w:val="18"/>
          <w:rtl/>
        </w:rPr>
        <w:t>ﭠ ﭡ ﭢ ﭣ ﭤ ﭥ ﭦ ﭧ ﭨ</w:t>
      </w:r>
      <w:r w:rsidRPr="00DE556A">
        <w:rPr>
          <w:rFonts w:ascii="QCF_P150" w:hAnsi="QCF_P150" w:cs="DecoType Thuluth"/>
          <w:b/>
          <w:bCs/>
          <w:sz w:val="18"/>
          <w:szCs w:val="18"/>
          <w:rtl/>
        </w:rPr>
        <w:t>}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الأنعام: 158]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على قول العرب السمن منوان بدرهم، فقد ذهب إلى أن يوم مرفوع على ابتداء، وأن جملة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DE556A">
        <w:rPr>
          <w:rFonts w:ascii="QCF_P150" w:hAnsi="QCF_P150" w:cs="QCF_P150"/>
          <w:b/>
          <w:bCs/>
          <w:sz w:val="18"/>
          <w:szCs w:val="18"/>
          <w:rtl/>
        </w:rPr>
        <w:t>ﭥ ﭦ ﭧ</w:t>
      </w:r>
      <w:r w:rsidRPr="00DE556A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خبر عنه، والعائد محذوف، قال: وإذا كانوا قالوا السمن منوان بدرهم فحذفوا،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وهم يريدون منه منوان مع قصر الكلام؛ كان حذف العائد لطول الكلام أسوغ، والتقدير: لا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ينفع فيه، ولم يكن أبو الفتح يقتصر في القياس على القراءات الشاذة، بل كان يحمل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أحيانًا بعض الشعر على القراءة الشاذة، ومن ذلك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جعل قول الشاعر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07"/>
        <w:gridCol w:w="575"/>
        <w:gridCol w:w="2064"/>
      </w:tblGrid>
      <w:tr w:rsidR="00DE556A" w:rsidRPr="00DE556A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t>بني ثعل لا تنكع العنز شاربها</w:t>
            </w: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t>بني ثعل من ينكع العنز ظالم</w:t>
            </w: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مثل قراءة طلحة بن سليمان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DE556A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DE556A">
        <w:rPr>
          <w:rFonts w:ascii="QCF_P090" w:hAnsi="QCF_P090" w:cs="QCF_P090"/>
          <w:b/>
          <w:bCs/>
          <w:sz w:val="18"/>
          <w:szCs w:val="18"/>
          <w:rtl/>
        </w:rPr>
        <w:t>ﯜ ﯝ ﯞ ﯟ</w:t>
      </w:r>
      <w:r w:rsidRPr="00DE556A">
        <w:rPr>
          <w:rFonts w:ascii="QCF_P090" w:hAnsi="QCF_P090" w:cs="DecoType Thuluth"/>
          <w:b/>
          <w:bCs/>
          <w:sz w:val="18"/>
          <w:szCs w:val="18"/>
          <w:rtl/>
        </w:rPr>
        <w:t>}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النساء: 78] فهو يرى أن قراءة طلحة على حذف الفاء الرابطة لجواب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الشرط والمبتدأ، ثم حمل ذلك على قول الشاعر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12"/>
        <w:gridCol w:w="571"/>
        <w:gridCol w:w="2063"/>
      </w:tblGrid>
      <w:tr w:rsidR="00DE556A" w:rsidRPr="00DE556A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lastRenderedPageBreak/>
              <w:t>من يفعل الحسنات الله يشكرها</w:t>
            </w: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t>والشر بالشر عند الله مثلان</w:t>
            </w: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ثم عاد فذكر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بيت ظالم وقاس مجيء حذف الفاء منه حذفها من المضارع،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وجعل العلاقة بينهما شبه اسم الفاعل بالفعل المضارع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قال: فهو لشبهه بالفعل كأنه هو الفعل، فيصير إلى كأنه قال: من ينكع العنز يظلم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وكان ابن جني يمزج في أقيسته بين وجوه الإعراب وسائر علوم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النحو، فيحمل مثلًا وجهًا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إعرابيًّا على مسألة صرفية، أو لغوية، أو عروضية؛ لأنه يؤمن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بتساند هذه العلوم، فقد قال في (سر الصناعة)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أفلا ترى إلى تساند هذا العلم، واشتراك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أجزائه، حتى إنه ليجاب عن بعضه بجواب غيره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ومن هذه الأقيسة قياس وجه نصب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أدري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من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قراءة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DE556A">
        <w:rPr>
          <w:rFonts w:ascii="QCF_P573" w:hAnsi="QCF_P573" w:cs="QCF_P573"/>
          <w:b/>
          <w:bCs/>
          <w:sz w:val="18"/>
          <w:szCs w:val="18"/>
          <w:rtl/>
        </w:rPr>
        <w:t>ﯩ ﯪ ﯫ ﯬ ﯭ ﯮ</w:t>
      </w:r>
      <w:r w:rsidRPr="00DE556A">
        <w:rPr>
          <w:rFonts w:ascii="QCF_P573" w:hAnsi="QCF_P573" w:cs="DecoType Thuluth"/>
          <w:b/>
          <w:bCs/>
          <w:sz w:val="18"/>
          <w:szCs w:val="18"/>
          <w:rtl/>
        </w:rPr>
        <w:t>}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الجن: 25] على فتح ياء المتكلم في مثل غلامي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أن أدريَ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وقد جعل الشبه بينهما ضمير المتكلم، فالفعل مسند إلى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ضمير المتكلم، والاسم مضاف إليه، ومن ذلك قياسه زيادة الباء في قراءة أبي جعفر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يكاد سنا برقه يذهب بالأبصار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على زيادة التاء في قولهم: فرسة وعجوزة في فرس وعجوز، وجعل الرابط بينهما الزيادة والتوكيد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أما أصول قياسه فقد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بدت من خلال جهوده في التطبيق، ومن خلال بعض عباراته المباشرة التي كان يخدم بها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حديثه غالبًا، وقد عرض للمقيس عليه، ولعلة القياس وأنواعه، أما المقيس عليه فكانت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حدوده واضحة عند ابن جني، فقد قاس في أكثر توجيهات على الشائع المضطرب، ومن ذلك قياسه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الناسي من قراءة سعيد بن جبير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ثُمَّ أَفِيضُوا مِنْ حَيْثُ أَفَاضَ النَّاسِ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 [البقرة: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199] على الصفات التي عوملت معاملة أسماء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الأعلام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pacing w:val="-4"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 xml:space="preserve">فقد ذهب إلى أن الناس هنا تعني: آدم </w:t>
      </w:r>
      <w:r w:rsidRPr="00DE556A">
        <w:rPr>
          <w:rFonts w:ascii="Simplified Arabic" w:hAnsi="Simplified Arabic" w:cs="SC_ALYERMOOK"/>
          <w:b/>
          <w:bCs/>
          <w:spacing w:val="-4"/>
          <w:position w:val="-4"/>
          <w:sz w:val="18"/>
          <w:szCs w:val="18"/>
          <w:rtl/>
        </w:rPr>
        <w:t>#</w:t>
      </w:r>
      <w:r w:rsidRPr="00DE556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، وقد صارت صفة غالبة كالنابغة والصعق</w:t>
      </w:r>
      <w:r w:rsidRPr="00DE556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والحارث والعباس، ثم ذكر أن هذه الأسماء جميعًا جرت مجرى الصفات في تعريفها، وأن</w:t>
      </w:r>
      <w:r w:rsidRPr="00DE556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الذي جمع بينها وبين الصفات هو تحملهما معاني الأفعال</w:t>
      </w:r>
      <w:r w:rsidRPr="00DE556A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وقاس ابن جني أيضًا على القليل النادر، وأكثر من هذا القياس نذكر من ذلك قياسه حذف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العائد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في إحدى القراءات على قول العرب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السمن منوان بدرهم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أي: وقد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رفض أبو الفتح القياس على الشاذ، ومن أقواله: وهذا لا وجه للقياس عليه، وهذا شاذ،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ومحفوظ، والقياس عليه مردود مرذول، ولكنه اضطر في بعض الأحيان إلى ذلك، فقاس قراءة ابن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مسعود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ليس البر لأن تولوا وجوهكم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على قوله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DE556A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DE556A">
        <w:rPr>
          <w:rFonts w:ascii="QCF_P514" w:hAnsi="QCF_P514" w:cs="QCF_P514"/>
          <w:b/>
          <w:bCs/>
          <w:sz w:val="18"/>
          <w:szCs w:val="18"/>
          <w:rtl/>
        </w:rPr>
        <w:t>ﯼ ﯽ ﯾ</w:t>
      </w:r>
      <w:r w:rsidRPr="00DE556A">
        <w:rPr>
          <w:rFonts w:ascii="QCF_P514" w:hAnsi="QCF_P514" w:cs="DecoType Thuluth"/>
          <w:b/>
          <w:bCs/>
          <w:sz w:val="18"/>
          <w:szCs w:val="18"/>
          <w:rtl/>
        </w:rPr>
        <w:t>}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النساء: 79] قال: فإن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قلت: فإن كفى بالله، شاذ قليل، فكيف قست عليه ليس، ولم نعلم الباء زيدت في اسم ليس إنما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زيدت في خبرها، نحو قوله تعالى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DE556A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DE556A">
        <w:rPr>
          <w:rFonts w:ascii="QCF_P098" w:hAnsi="QCF_P098" w:cs="QCF_P098"/>
          <w:b/>
          <w:bCs/>
          <w:sz w:val="18"/>
          <w:szCs w:val="18"/>
          <w:rtl/>
        </w:rPr>
        <w:t>ﭩ ﭪ</w:t>
      </w:r>
      <w:r w:rsidRPr="00DE556A">
        <w:rPr>
          <w:rFonts w:ascii="QCF_P098" w:hAnsi="QCF_P098" w:cs="DecoType Thuluth"/>
          <w:b/>
          <w:bCs/>
          <w:sz w:val="18"/>
          <w:szCs w:val="18"/>
          <w:rtl/>
        </w:rPr>
        <w:t>}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النساء: 123] قيل لو لم يكن شاذًّا لما جوّزنا قياسًا عليه ما جوزناه، ولكنا نوجب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فيه ألبتة واجبًا فاعرفه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وقد يتعدد المقيس عليه عنده في بعض القراءات، كما تكرر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أحيانًا للغاية نفسها التي أرادها في المرة الأولى، فقد قاس زيادة الباء في قراءة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أبي جعفر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يكاد سنا برقه يُذهب بالأبصار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على زيادة اللام لتوكيد معنى الإضافة في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قول الشاعر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79"/>
        <w:gridCol w:w="574"/>
        <w:gridCol w:w="2093"/>
      </w:tblGrid>
      <w:tr w:rsidR="00DE556A" w:rsidRPr="00DE556A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t>قالت بنو عامر خال</w:t>
            </w:r>
            <w:r w:rsidRPr="00DE556A">
              <w:rPr>
                <w:rFonts w:cs="AGA Furat Regular" w:hint="cs"/>
                <w:b/>
                <w:bCs/>
                <w:sz w:val="18"/>
                <w:szCs w:val="18"/>
                <w:rtl/>
              </w:rPr>
              <w:t>وا</w:t>
            </w: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t xml:space="preserve"> بني أسد</w:t>
            </w: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t>يا بؤس للجهل ضرارًا بأقوام</w:t>
            </w: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وعلى زيادة ياء النسبة لتوكيد معنى الصفة في أشقري، ودواري، وعلى زيادة التاء للتوكيد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في فرسه وعجوزه، وقرر القياس على قول العرب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السمن منوان بدرهم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في توجيه ثلاث قراءات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وقد تعدَّدت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لديه علل القياس وتنوعت، وكان أبرزها علة التخفيف، وذلك نحو: حمله حذف ألف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لا في قراءة زيد بنثابت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DE556A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DE556A">
        <w:rPr>
          <w:rFonts w:ascii="QCF_P179" w:hAnsi="QCF_P179" w:cs="QCF_P179"/>
          <w:b/>
          <w:bCs/>
          <w:sz w:val="18"/>
          <w:szCs w:val="18"/>
          <w:rtl/>
        </w:rPr>
        <w:t>ﯱ ﯲ ﯳ ﯴ ﯵ ﯶ</w:t>
      </w:r>
      <w:r w:rsidRPr="00DE556A">
        <w:rPr>
          <w:rFonts w:ascii="QCF_P179" w:hAnsi="QCF_P179" w:cs="DecoType Thuluth"/>
          <w:b/>
          <w:bCs/>
          <w:sz w:val="18"/>
          <w:szCs w:val="18"/>
          <w:rtl/>
        </w:rPr>
        <w:t>}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الأنفال: 25]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على حذف ألف أمن، أما من قول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العرب: أم والله ليكونن كذا، كما تعددت لديه أنواع القياس فكان منها حمل الفرع على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الأصل، حمل النظير على النظير، حمل الشيء على نقيضه، فمثال الأول: وهو حمل الفرع على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الأصل، قياسه اسم الفاعل على الفعل المضارع في اتصاله بنون الوقاية إذا اتصلت به ياء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المتكلم، وذلك في قراءة ابن محيصن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هل أنتم مطلعون فأطلع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، وقد حذفت فيها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ياء المتكلم المفعول به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ومثال الثاني: وهو حمل النظير على النظير، وهو كثير قياسه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الجمع بين العوض والمعوض في قراءة أبي جعفر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يا حسرتاي على ما فرطت في جنب الله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فقد ذهب إلى أن أبا جعفر جمع غير الألف المبدلة أصلًا عن ياء المتكلم، وبين ياء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المتكلم نفسه، وقاس ذلك على جمع الشاعر بين أداة النداء، وبين الميم المشددة في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قوله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0"/>
        <w:gridCol w:w="576"/>
        <w:gridCol w:w="2090"/>
      </w:tblGrid>
      <w:tr w:rsidR="00DE556A" w:rsidRPr="00DE556A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t>إني إذا ما حدث ألم</w:t>
            </w:r>
            <w:r w:rsidRPr="00DE556A">
              <w:rPr>
                <w:rFonts w:cs="AGA Furat Regular" w:hint="cs"/>
                <w:b/>
                <w:bCs/>
                <w:sz w:val="18"/>
                <w:szCs w:val="18"/>
                <w:rtl/>
              </w:rPr>
              <w:t>َّ</w:t>
            </w: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t>ا</w:t>
            </w: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DE556A" w:rsidRPr="00DE556A" w:rsidRDefault="00DE556A" w:rsidP="00DE556A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t>أقول يا اللهم يا اللهم</w:t>
            </w:r>
            <w:r w:rsidRPr="00DE556A">
              <w:rPr>
                <w:rFonts w:cs="AGA Furat Regular" w:hint="cs"/>
                <w:b/>
                <w:bCs/>
                <w:sz w:val="18"/>
                <w:szCs w:val="18"/>
                <w:rtl/>
              </w:rPr>
              <w:t>ا</w:t>
            </w:r>
            <w:r w:rsidRPr="00DE556A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ومنه أيضًا قياسه في قراءة الحسن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ألم يأن للذين آمنوا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فقد ذهب إلى أن أصل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لما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لم، ثم زيدت عليها ما فأصبحت نفيًا لقوله: قد كان كذا، وأن لم نفي فعل يقول: قام زيد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فيقول المجيب بالنفي: لم يقم، فإن قال: قد قام قلت: بم يقم، لما يقم، ثم قال أبو الفتح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لما زاد في الإثبات قد زاد في النفي ما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ومثال الثالث: وهو حمل الشيء على نقيضه، فكان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نادرًا، ومنه قوله في القراءة نفسها، فإن قلت: قد علمنا أن أصل لما على ما وصفت لم ما،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وهما حرفان، وأما الظرف فاسم، فكيف جاز للحرف أن يستحيل فيصير اسمًا، قيل: كان استحلال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الاسم لما ركب مع الحرف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فاعتد مجموعها حرفًا في قولهم: إذ ما تقم أقم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ومما تجدر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الإشارة إليه أن أبا الفتح كان يؤثر قياس النظير على النظير، ويفضله على قياس النقيض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على النقيض، فقد قال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في توجيه إحدى الشواذ، وإذا جاز أن يجري الشيء مجرى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نقيضه، فإجراؤه مجرى نظيره أسوغ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كما أنه قد يوازن بين قياسين لدوافع مختلفة، ويفضل أحدهما تبعًا لأسباب يذكرها، فقد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قاس قراءة الحمد لله على قول العرب قنب وعنوة، وقاس قراءة الحمد لله على إبل وإطل،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ولكنه فضل القياس الأول لحفظه على حركة الإعراب، ولجريان الإتباع فيه مجرى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بين السبب والمسبب،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بذا نرى أن القياس قد أسهم في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تخريج الشواذ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وأسعف ابن جني في كثير من المواقف الصعبة، ولا سيما عندما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يعود السماع وهو قياس تعليلي يغلب عليه حمل ظاهرة فرعية على ظاهرة أصلية للشبه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بينهما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ننتقل الآن إلى السياق</w:t>
      </w:r>
      <w:r w:rsidRPr="00DE556A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أيضًا من الأمور التي احتج بها الإمام ابن جني السياق،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فقد استدل ابن جني في توجيه بعض الشواذ بسياق القراءة، واستأنس بما توحيه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المناسبة في إصدار بعض أحكامه، وكان هذا السياق معنويًّا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يستلخص من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المناسبة، ولفظيًّا يُعرف مما تقدم أو تأخر، فمن أمثلة السياق المعنوي تقديره إضمار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الفاعل في قراءة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فيرى الذين في قلوبهم مرض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قال: فاعل يرى مضمر دلت عليه الحال أي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فيرى رائيهم ومتأملهم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أما السياق اللفظي: فمنه استدلاله في قراءة مجاهد التي جاءت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فيها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بل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في موضع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أم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أم تأمرهم أحلامهم بهذا بل هم قوم طاغون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، فقد استدل بذلك على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مجيء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أم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بمعنى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بل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في الآيات السابقة من السورة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DecoType Thuluth"/>
          <w:b/>
          <w:bCs/>
          <w:spacing w:val="-6"/>
          <w:sz w:val="18"/>
          <w:szCs w:val="18"/>
          <w:rtl/>
          <w:lang w:bidi="ar-EG"/>
        </w:rPr>
        <w:t>{</w:t>
      </w:r>
      <w:r w:rsidRPr="00DE556A">
        <w:rPr>
          <w:rFonts w:ascii="QCF_P524" w:hAnsi="QCF_P524" w:cs="QCF_P524"/>
          <w:b/>
          <w:bCs/>
          <w:spacing w:val="-6"/>
          <w:sz w:val="18"/>
          <w:szCs w:val="18"/>
          <w:rtl/>
        </w:rPr>
        <w:t xml:space="preserve">ﯳ ﯴ ﯵ ﯶ ﯷ ﯸ ﯹ ﯺ </w:t>
      </w:r>
      <w:r w:rsidRPr="00DE556A">
        <w:rPr>
          <w:rFonts w:ascii="Simplified Arabic" w:hAnsi="Simplified Arabic" w:cs="AL-Hotham" w:hint="cs"/>
          <w:b/>
          <w:bCs/>
          <w:spacing w:val="-6"/>
          <w:sz w:val="18"/>
          <w:szCs w:val="18"/>
          <w:rtl/>
        </w:rPr>
        <w:t xml:space="preserve"> </w:t>
      </w:r>
      <w:r w:rsidRPr="00DE556A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 xml:space="preserve">* </w:t>
      </w:r>
      <w:r w:rsidRPr="00DE556A">
        <w:rPr>
          <w:rFonts w:ascii="QCF_P524" w:hAnsi="QCF_P524" w:cs="QCF_P524"/>
          <w:b/>
          <w:bCs/>
          <w:spacing w:val="-6"/>
          <w:sz w:val="18"/>
          <w:szCs w:val="18"/>
          <w:rtl/>
        </w:rPr>
        <w:t>ﯼ ﯽ ﯾ ﯿ ﰀ ﰁ ﰂ</w:t>
      </w:r>
      <w:r w:rsidRPr="00DE556A">
        <w:rPr>
          <w:rFonts w:ascii="QCF_P524" w:hAnsi="QCF_P524" w:cs="DecoType Thuluth"/>
          <w:b/>
          <w:bCs/>
          <w:spacing w:val="-6"/>
          <w:sz w:val="18"/>
          <w:szCs w:val="18"/>
          <w:rtl/>
        </w:rPr>
        <w:t>}</w:t>
      </w:r>
      <w:r w:rsidRPr="00DE556A">
        <w:rPr>
          <w:rFonts w:ascii="Simplified Arabic" w:hAnsi="Simplified Arabic" w:cs="AL-Hotham"/>
          <w:b/>
          <w:bCs/>
          <w:spacing w:val="-6"/>
          <w:sz w:val="18"/>
          <w:szCs w:val="18"/>
          <w:rtl/>
          <w:lang w:bidi="ar-EG"/>
        </w:rPr>
        <w:t xml:space="preserve"> [</w:t>
      </w:r>
      <w:r w:rsidRPr="00DE556A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>الطور: 29</w:t>
      </w:r>
      <w:r w:rsidRPr="00DE556A">
        <w:rPr>
          <w:rFonts w:ascii="Simplified Arabic" w:hAnsi="Simplified Arabic" w:cs="AL-Hotham" w:hint="cs"/>
          <w:b/>
          <w:bCs/>
          <w:spacing w:val="-6"/>
          <w:sz w:val="18"/>
          <w:szCs w:val="18"/>
          <w:rtl/>
        </w:rPr>
        <w:t>،</w:t>
      </w:r>
      <w:r w:rsidRPr="00DE556A">
        <w:rPr>
          <w:rFonts w:ascii="Simplified Arabic" w:hAnsi="Simplified Arabic" w:cs="AL-Hotham"/>
          <w:b/>
          <w:bCs/>
          <w:spacing w:val="-6"/>
          <w:sz w:val="18"/>
          <w:szCs w:val="18"/>
          <w:rtl/>
        </w:rPr>
        <w:t xml:space="preserve"> 30]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، وقد فعل هذا في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مواطن أخرى، وكان يقول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ألا ترى إلى قوله قبل ذلك، ويدل عليه قوله قبله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ومن السياق اللفظي أيضًا: ما يتأخر عن القراءة غير أن هذا التأخر لم يكن طويلًا، فهو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لم يتجاوز حدود الآية نفسها، ونذكر منه تعليقه به في توجيه قراءة مجاهد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إن تُعف عن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طائفة منكم تُعذب طائفة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، فقد حمل أبو الفتح تأنيث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تعفى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على المعنى، ثم استأنس بتأنيث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تُعذب قال: وزاد في الأنس بذلك مجيء التأنيث يليه، وهو قول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تعذب طائفة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فابن جني حين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يستأنس بالسياق الذي جاءت فيه القراءة في المعنى واللفظ، ويبحث عن وجه القراءة في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موقعها العام، ولا يقتطعها منه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وخلاصة القول: أن ابن جني قد استعان كغيره من النحاة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بالقراءات المشهورة، وبالقراءات الشاذة، وبالحديث النبوي الشريف، وبالشعر وبأقوال بعض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العرب، واتخذ من القياس ملجأ يوفر له الاستدلال على كثير من وجوه الشواذ، واستعان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أيضًا بالسياق، وساق ذلك كله في إطار متكامل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نظرة ابن جني إلى القراءات الشاذة في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كتابه: لم يحفل ابن جني في كتابه (المحتسب) بكل ما رُوي من القراءات الشاذة،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وإنما انتخب لنفسه عددًا مما غمض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وجه نحوه، أو معناه،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وظنه الناس وبعض العلماء مجافيًا لروح العربية ثم أدار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عليه الشرح والدراسة،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قال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اعلم أن جميع ما شذ عن قراءة القراء السبعة؛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ضربان: ضرب شذ عن القراءة عاريًا من الصنعة ليس فيه إلا ما يتناوله الظاهر، مما هذه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سبيله؛ فلا وجه للتشاغل به. وضرب ثانٍ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وهو هذا الذي نحن على سمته أعني: ما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شذ عن السبعة وغمض عن ظاهر الصنعة، وهو المعتمد المعول عليه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DE556A" w:rsidRPr="00DE556A" w:rsidRDefault="00DE556A" w:rsidP="00DE556A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من هذا النص أو مما سبق يتضح لنا أن ابن جني نصَّب نفسه مدافعًا عن وجوه الشواذ، وحدد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التي يمكن أن تكون ميدانًا للبحث، وهذا يعني: أنه منتصر بكل ما أورده من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وجوه؛ لأنه هو الذي حدد مادة الدراسة، فهل فعل ذلك حقًّا، لقد حاول ابن جني بكل ما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أوتي من مقدرة علمية وثقافية، وبكل ما اتسم به من حنكة لغوية أن ينتصر للشواذ،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واستطاع إلى حدٍّ ما أن يعثر لها على الوجوه النحوية المناسبة من القراءات، وكلام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العرب، إلا أن موقفه منها لم يكن متماسكًا أو موحدًا، بل كان مختلفًا ومتنوعًا، فمرة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نجده يستحسنها ويتحمس لها، ومرة يستدل بها على مذهب نحوي،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ومرة ينصر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بها القراءة المشهورة، ومرة تفتر حماسته فيفضل القراءة المشهورة عليها، أو يصفها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بالضعف، أو باللحن، أو بالشذوذ، ومرة يستهجنها، ويحملها على ضرائر الشعر أي: ضرورة الشعر،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ولكن الملاك العام لديه هو قبولها والأخذ بها، وقد رأينا أن نقسم هذه المواقف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قسمان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</w:rPr>
        <w:t>المواقف التي توافق خطة كتاب (المحتسب) والمواقف التي تخالف الخطة</w:t>
      </w:r>
      <w:r w:rsidRPr="00DE556A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DE556A" w:rsidRPr="00DE556A" w:rsidRDefault="00DE556A" w:rsidP="00DE556A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DE556A" w:rsidRPr="00DE556A" w:rsidRDefault="00DE556A" w:rsidP="00DE556A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DE556A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DE556A" w:rsidRPr="00DE556A" w:rsidRDefault="00DE556A" w:rsidP="00DE556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DE556A" w:rsidRPr="00DE556A" w:rsidRDefault="00DE556A" w:rsidP="00DE556A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DE556A" w:rsidRPr="00DE556A" w:rsidRDefault="00DE556A" w:rsidP="00DE556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DE556A" w:rsidRPr="00DE556A" w:rsidRDefault="00DE556A" w:rsidP="00DE556A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DE556A" w:rsidRPr="00DE556A" w:rsidRDefault="00DE556A" w:rsidP="00DE556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DE556A" w:rsidRPr="00DE556A" w:rsidRDefault="00DE556A" w:rsidP="00DE556A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DE556A" w:rsidRPr="00DE556A" w:rsidRDefault="00DE556A" w:rsidP="00DE556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DE556A" w:rsidRPr="00DE556A" w:rsidRDefault="00DE556A" w:rsidP="00DE556A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DE556A" w:rsidRPr="00DE556A" w:rsidRDefault="00DE556A" w:rsidP="00DE556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DE556A" w:rsidRPr="00DE556A" w:rsidRDefault="00DE556A" w:rsidP="00DE556A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DE556A" w:rsidRPr="00DE556A" w:rsidRDefault="00DE556A" w:rsidP="00DE556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DE556A" w:rsidRPr="00DE556A" w:rsidRDefault="00DE556A" w:rsidP="00DE556A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DE556A" w:rsidRPr="00DE556A" w:rsidRDefault="00DE556A" w:rsidP="00DE556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DE556A" w:rsidRPr="00DE556A" w:rsidRDefault="00DE556A" w:rsidP="00DE556A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DE556A" w:rsidRPr="00DE556A" w:rsidRDefault="00DE556A" w:rsidP="00DE556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DE556A" w:rsidRPr="00DE556A" w:rsidRDefault="00DE556A" w:rsidP="00DE556A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DE556A" w:rsidRPr="00DE556A" w:rsidRDefault="00DE556A" w:rsidP="00DE556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DE556A" w:rsidRPr="00DE556A" w:rsidRDefault="00DE556A" w:rsidP="00DE556A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DE556A" w:rsidRPr="00DE556A" w:rsidRDefault="00DE556A" w:rsidP="00DE556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DE556A" w:rsidRPr="00DE556A" w:rsidRDefault="00DE556A" w:rsidP="00DE556A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DE556A" w:rsidRPr="00DE556A" w:rsidRDefault="00DE556A" w:rsidP="00DE556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DE556A" w:rsidRPr="00DE556A" w:rsidRDefault="00DE556A" w:rsidP="00DE556A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DE556A" w:rsidRPr="00DE556A" w:rsidRDefault="00DE556A" w:rsidP="00DE556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DE556A" w:rsidRPr="00DE556A" w:rsidRDefault="00DE556A" w:rsidP="00DE556A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DE556A" w:rsidRPr="00DE556A" w:rsidRDefault="00DE556A" w:rsidP="00DE556A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DE556A" w:rsidRPr="00DE556A" w:rsidRDefault="00DE556A" w:rsidP="00DE556A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DE556A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DE556A" w:rsidRPr="00DE556A" w:rsidRDefault="00DE556A" w:rsidP="00DE556A">
      <w:pPr>
        <w:rPr>
          <w:rFonts w:hint="cs"/>
          <w:b/>
          <w:bCs/>
          <w:sz w:val="18"/>
          <w:szCs w:val="18"/>
        </w:rPr>
      </w:pPr>
    </w:p>
    <w:p w:rsidR="00DE556A" w:rsidRPr="00DE556A" w:rsidRDefault="00DE556A" w:rsidP="00DE556A">
      <w:pPr>
        <w:rPr>
          <w:b/>
          <w:bCs/>
          <w:sz w:val="18"/>
          <w:szCs w:val="18"/>
        </w:rPr>
      </w:pPr>
    </w:p>
    <w:p w:rsidR="00DE556A" w:rsidRPr="00DE556A" w:rsidRDefault="00DE556A" w:rsidP="00DE556A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DE556A" w:rsidRDefault="00DE556A" w:rsidP="00DE556A">
      <w:pPr>
        <w:rPr>
          <w:rtl/>
        </w:rPr>
        <w:sectPr w:rsidR="00DE556A" w:rsidSect="00DE556A">
          <w:type w:val="continuous"/>
          <w:pgSz w:w="11906" w:h="16838" w:code="9"/>
          <w:pgMar w:top="993" w:right="566" w:bottom="993" w:left="1560" w:header="720" w:footer="720" w:gutter="0"/>
          <w:cols w:num="2" w:space="720"/>
          <w:titlePg/>
          <w:bidi/>
          <w:rtlGutter/>
          <w:docGrid w:linePitch="360"/>
        </w:sectPr>
      </w:pPr>
    </w:p>
    <w:p w:rsidR="00DE556A" w:rsidRDefault="00DE556A" w:rsidP="00DE556A"/>
    <w:p w:rsidR="00DE556A" w:rsidRPr="004832EA" w:rsidRDefault="00DE556A" w:rsidP="00DE556A">
      <w:pPr>
        <w:pStyle w:val="NormalWeb"/>
        <w:bidi/>
        <w:spacing w:before="0" w:beforeAutospacing="0" w:after="120" w:afterAutospacing="0" w:line="500" w:lineRule="exact"/>
        <w:jc w:val="lowKashida"/>
        <w:rPr>
          <w:rFonts w:ascii="Simplified Arabic" w:hAnsi="Simplified Arabic" w:cs="AL-Hotham"/>
          <w:sz w:val="32"/>
          <w:szCs w:val="32"/>
          <w:lang w:bidi="ar-EG"/>
        </w:rPr>
      </w:pPr>
      <w:r w:rsidRPr="004832EA">
        <w:rPr>
          <w:rFonts w:ascii="Simplified Arabic" w:hAnsi="Simplified Arabic" w:cs="AL-Hotham"/>
          <w:sz w:val="32"/>
          <w:szCs w:val="32"/>
          <w:rtl/>
          <w:lang w:bidi="ar-EG"/>
        </w:rPr>
        <w:t xml:space="preserve"> </w:t>
      </w:r>
    </w:p>
    <w:p w:rsidR="00DE556A" w:rsidRPr="004832EA" w:rsidRDefault="00DE556A" w:rsidP="00DE556A">
      <w:pPr>
        <w:pStyle w:val="NormalWeb"/>
        <w:bidi/>
        <w:spacing w:before="0" w:beforeAutospacing="0" w:after="120" w:afterAutospacing="0" w:line="500" w:lineRule="exact"/>
        <w:jc w:val="center"/>
        <w:rPr>
          <w:rFonts w:ascii="Simplified Arabic" w:hAnsi="Simplified Arabic" w:cs="AL-Hotham"/>
          <w:b/>
          <w:bCs/>
          <w:sz w:val="32"/>
          <w:szCs w:val="32"/>
          <w:rtl/>
        </w:rPr>
        <w:sectPr w:rsidR="00DE556A" w:rsidRPr="004832EA" w:rsidSect="00DE556A">
          <w:type w:val="continuous"/>
          <w:pgSz w:w="11906" w:h="16838" w:code="9"/>
          <w:pgMar w:top="993" w:right="566" w:bottom="993" w:left="1560" w:header="720" w:footer="720" w:gutter="0"/>
          <w:cols w:space="720"/>
          <w:titlePg/>
          <w:bidi/>
          <w:rtlGutter/>
          <w:docGrid w:linePitch="360"/>
        </w:sectPr>
      </w:pPr>
    </w:p>
    <w:p w:rsidR="004219C3" w:rsidRPr="00DE556A" w:rsidRDefault="004219C3" w:rsidP="00DE556A">
      <w:pPr>
        <w:spacing w:before="60"/>
        <w:jc w:val="center"/>
        <w:rPr>
          <w:rFonts w:asciiTheme="majorBidi" w:eastAsia="Calibri" w:hAnsiTheme="majorBidi" w:cstheme="majorBidi"/>
          <w:b/>
          <w:bCs/>
          <w:sz w:val="48"/>
          <w:szCs w:val="48"/>
          <w:lang w:bidi="ar-SA"/>
        </w:rPr>
      </w:pPr>
    </w:p>
    <w:sectPr w:rsidR="004219C3" w:rsidRPr="00DE556A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80" w:rsidRDefault="005E6B80" w:rsidP="00DE556A">
      <w:r>
        <w:separator/>
      </w:r>
    </w:p>
  </w:endnote>
  <w:endnote w:type="continuationSeparator" w:id="1">
    <w:p w:rsidR="005E6B80" w:rsidRDefault="005E6B80" w:rsidP="00DE5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Gra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5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80" w:rsidRDefault="005E6B80" w:rsidP="00DE556A">
      <w:r>
        <w:separator/>
      </w:r>
    </w:p>
  </w:footnote>
  <w:footnote w:type="continuationSeparator" w:id="1">
    <w:p w:rsidR="005E6B80" w:rsidRDefault="005E6B80" w:rsidP="00DE5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E9" w:rsidRDefault="005E6B80">
    <w:pPr>
      <w:pStyle w:val="Header"/>
    </w:pPr>
    <w:r>
      <w:rPr>
        <w:noProof/>
        <w:lang w:bidi="ar-SA"/>
      </w:rPr>
      <w:pict>
        <v:group id="_x0000_s1032" style="position:absolute;left:0;text-align:left;margin-left:3.5pt;margin-top:75.5pt;width:333.5pt;height:619.25pt;z-index:251661312" coordorigin="2625,2234" coordsize="6670,12385">
          <v:line id="_x0000_s1033" style="position:absolute" from="2648,14404" to="9269,14404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12;top:14165;width:754;height:454" fillcolor="#4f81bd" stroked="f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C326E9" w:rsidRPr="00907733" w:rsidRDefault="005E6B80" w:rsidP="005E730C">
                  <w:pPr>
                    <w:spacing w:line="280" w:lineRule="exact"/>
                    <w:jc w:val="center"/>
                    <w:rPr>
                      <w:rFonts w:cs="AL-Mateen" w:hint="cs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>
                    <w:rPr>
                      <w:rStyle w:val="PageNumber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220</w: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5;top:2501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5;top:2282;width:2551;height:397" fillcolor="#369" stroked="f">
            <v:shadow on="t" color="#b2b2b2" opacity="52429f" offset="1pt,0" offset2="-4pt,-4pt"/>
            <v:textpath style="font-family:&quot;Al-Mothnna&quot;;v-text-kern:t" trim="t" fitpath="t" string="القراءات الشاذة"/>
          </v:shape>
          <v:rect id="_x0000_s1037" style="position:absolute;left:7594;top:2234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C326E9" w:rsidRPr="00E31343" w:rsidRDefault="005E6B80" w:rsidP="005E730C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6;top:2330;width:1417;height:317" stroked="f">
            <v:shadow on="t" color="black" opacity="52429f" offset="1pt,0" offset2="-4pt,-4pt"/>
            <v:textpath style="font-family:&quot;AGA Granada Regular&quot;;v-text-kern:t" trim="t" fitpath="t" string="الدرس الثالث عشر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3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E556A"/>
    <w:rsid w:val="001A2769"/>
    <w:rsid w:val="004168A0"/>
    <w:rsid w:val="004219C3"/>
    <w:rsid w:val="004A286F"/>
    <w:rsid w:val="005E6B80"/>
    <w:rsid w:val="00DE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556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556A"/>
    <w:pPr>
      <w:bidi w:val="0"/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link w:val="HeaderChar"/>
    <w:rsid w:val="00DE55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E556A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DE556A"/>
  </w:style>
  <w:style w:type="paragraph" w:styleId="Footer">
    <w:name w:val="footer"/>
    <w:basedOn w:val="Normal"/>
    <w:link w:val="FooterChar"/>
    <w:uiPriority w:val="99"/>
    <w:semiHidden/>
    <w:unhideWhenUsed/>
    <w:rsid w:val="00DE55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556A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Hyperlink">
    <w:name w:val="Hyperlink"/>
    <w:basedOn w:val="DefaultParagraphFont"/>
    <w:uiPriority w:val="99"/>
    <w:unhideWhenUsed/>
    <w:rsid w:val="00DE55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edmsamir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1688</Words>
  <Characters>9627</Characters>
  <Application>Microsoft Office Word</Application>
  <DocSecurity>0</DocSecurity>
  <Lines>80</Lines>
  <Paragraphs>22</Paragraphs>
  <ScaleCrop>false</ScaleCrop>
  <Company>Fannan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2013-06-16T15:13:00Z</dcterms:created>
  <dcterms:modified xsi:type="dcterms:W3CDTF">2013-06-16T15:16:00Z</dcterms:modified>
</cp:coreProperties>
</file>