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D7" w:rsidRDefault="009143D7" w:rsidP="009143D7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9143D7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استشهاد ابن جني بلهجات العرب وأقوالهم</w:t>
      </w:r>
    </w:p>
    <w:p w:rsidR="009143D7" w:rsidRDefault="009143D7" w:rsidP="009143D7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9143D7" w:rsidRPr="00F7753E" w:rsidRDefault="009143D7" w:rsidP="009143D7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9143D7" w:rsidRPr="00F7753E" w:rsidRDefault="009143D7" w:rsidP="009143D7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9143D7" w:rsidRPr="00F7753E" w:rsidRDefault="009143D7" w:rsidP="009143D7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9143D7" w:rsidRPr="00426F7E" w:rsidRDefault="009143D7" w:rsidP="009143D7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9143D7" w:rsidRPr="00426F7E" w:rsidRDefault="009143D7" w:rsidP="009143D7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9143D7" w:rsidRPr="00426F7E" w:rsidRDefault="009143D7" w:rsidP="009143D7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9143D7" w:rsidRPr="00426F7E" w:rsidRDefault="009143D7" w:rsidP="009143D7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9143D7" w:rsidRDefault="009143D7" w:rsidP="009143D7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9143D7" w:rsidRPr="00426F7E" w:rsidRDefault="009143D7" w:rsidP="009143D7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143D7" w:rsidRDefault="009143D7" w:rsidP="009143D7">
      <w:pPr>
        <w:spacing w:before="6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9143D7" w:rsidSect="009143D7">
          <w:pgSz w:w="11906" w:h="16838"/>
          <w:pgMar w:top="1440" w:right="849" w:bottom="993" w:left="1800" w:header="708" w:footer="708" w:gutter="0"/>
          <w:cols w:space="708"/>
          <w:bidi/>
          <w:rtlGutter/>
          <w:docGrid w:linePitch="360"/>
        </w:sectPr>
      </w:pPr>
    </w:p>
    <w:p w:rsidR="009143D7" w:rsidRPr="009143D7" w:rsidRDefault="009143D7" w:rsidP="009143D7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9143D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استشهاد ابن جني بلهجات العرب وأقوالهم</w:t>
      </w:r>
    </w:p>
    <w:p w:rsidR="009143D7" w:rsidRPr="009143D7" w:rsidRDefault="009143D7" w:rsidP="009143D7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9143D7" w:rsidRPr="009143D7" w:rsidRDefault="009143D7" w:rsidP="009143D7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9143D7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9143D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 استشهاد، العرب، اقوالهم</w:t>
      </w:r>
    </w:p>
    <w:p w:rsidR="009143D7" w:rsidRPr="009143D7" w:rsidRDefault="009143D7" w:rsidP="009143D7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9143D7" w:rsidRPr="009143D7" w:rsidRDefault="009143D7" w:rsidP="009143D7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9143D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استشهاد ابن جني بلهجات العرب وأقوالهم</w:t>
      </w:r>
    </w:p>
    <w:p w:rsidR="009143D7" w:rsidRPr="009143D7" w:rsidRDefault="009143D7" w:rsidP="009143D7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143D7" w:rsidRPr="009143D7" w:rsidRDefault="009143D7" w:rsidP="009143D7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9143D7" w:rsidRPr="009143D7" w:rsidRDefault="009143D7" w:rsidP="009143D7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9143D7" w:rsidRPr="009143D7" w:rsidRDefault="009143D7" w:rsidP="009143D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حمل أبو الفتح بعض القراءات الشاذة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على لغات العرب وأقوال العرب، وكان يحاول في أثناء ذلك تحديد مستوى ما يحمل عليه،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فيصف بعضها بأنها لغة، وبعضها الآخر بأنها لغة، ويحمل بعضها على قول العرب، وبعضها على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قول بعضهم، ولكنه لم يسم لنا أصحاب اللغات، كما لم يكن يصرح بأسماء أصحاب الأقوال، وهو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إذا فعل ذلك أحيانًا فإنه يربطها بسندها ومناسبتها، وهذا يدل على دقة تعبيره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9143D7" w:rsidRPr="009143D7" w:rsidRDefault="009143D7" w:rsidP="009143D7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وفيما يلي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أمثلة توضح لك ذلك، فقد حمل ابن جني على لغات العرب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قراءة السلمي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9143D7">
        <w:rPr>
          <w:rFonts w:ascii="QCF_P521" w:hAnsi="QCF_P521" w:cs="QCF_P521"/>
          <w:b/>
          <w:bCs/>
          <w:sz w:val="18"/>
          <w:szCs w:val="18"/>
          <w:rtl/>
        </w:rPr>
        <w:t>ﭨ ﭩ ﭪ ﭫ</w:t>
      </w:r>
      <w:r w:rsidRPr="009143D7">
        <w:rPr>
          <w:rFonts w:ascii="QCF_P521" w:hAnsi="QCF_P521" w:cs="DecoType Thuluth"/>
          <w:b/>
          <w:bCs/>
          <w:sz w:val="18"/>
          <w:szCs w:val="18"/>
          <w:rtl/>
        </w:rPr>
        <w:t>}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الذاريات: 12]، وقراءة أبي السمال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9143D7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9143D7">
        <w:rPr>
          <w:rFonts w:ascii="QCF_P284" w:hAnsi="QCF_P284" w:cs="QCF_P284"/>
          <w:b/>
          <w:bCs/>
          <w:sz w:val="18"/>
          <w:szCs w:val="18"/>
          <w:rtl/>
        </w:rPr>
        <w:t>ﮧ ﮨ ﮩ ﮪ</w:t>
      </w:r>
      <w:r w:rsidRPr="009143D7">
        <w:rPr>
          <w:rFonts w:ascii="QCF_P284" w:hAnsi="QCF_P284" w:cs="DecoType Thuluth"/>
          <w:b/>
          <w:bCs/>
          <w:sz w:val="18"/>
          <w:szCs w:val="18"/>
          <w:rtl/>
        </w:rPr>
        <w:t>}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الإسراء: 23] بالبناء على الضم، أفُّ ، وقراءة الفضل الر</w:t>
      </w:r>
      <w:r w:rsidRPr="009143D7">
        <w:rPr>
          <w:rFonts w:ascii="Simplified Arabic" w:hAnsi="Simplified Arabic" w:cs="AL-Hotham" w:hint="cs"/>
          <w:b/>
          <w:bCs/>
          <w:sz w:val="18"/>
          <w:szCs w:val="18"/>
          <w:rtl/>
        </w:rPr>
        <w:t>ق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اشي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9143D7">
        <w:rPr>
          <w:rFonts w:ascii="QCF_P001" w:hAnsi="QCF_P001" w:cs="QCF_P001"/>
          <w:b/>
          <w:bCs/>
          <w:sz w:val="18"/>
          <w:szCs w:val="18"/>
          <w:rtl/>
        </w:rPr>
        <w:t>ﭢ ﭣ</w:t>
      </w:r>
      <w:r w:rsidRPr="009143D7">
        <w:rPr>
          <w:rFonts w:ascii="QCF_P001" w:hAnsi="QCF_P001" w:cs="DecoType Thuluth"/>
          <w:b/>
          <w:bCs/>
          <w:sz w:val="18"/>
          <w:szCs w:val="18"/>
          <w:rtl/>
        </w:rPr>
        <w:t>}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الفاتحة: 5]، وقراءة طلحة بن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مصرف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9143D7">
        <w:rPr>
          <w:rFonts w:ascii="QCF_P307" w:hAnsi="QCF_P307" w:cs="QCF_P307"/>
          <w:b/>
          <w:bCs/>
          <w:sz w:val="18"/>
          <w:szCs w:val="18"/>
          <w:rtl/>
        </w:rPr>
        <w:t>ﭕ ﭖ ﭗ ﭘ ﭙ ﭚ ﭛ</w:t>
      </w:r>
      <w:r w:rsidRPr="009143D7">
        <w:rPr>
          <w:rFonts w:ascii="QCF_P307" w:hAnsi="QCF_P307" w:cs="DecoType Thuluth"/>
          <w:b/>
          <w:bCs/>
          <w:sz w:val="18"/>
          <w:szCs w:val="18"/>
          <w:rtl/>
        </w:rPr>
        <w:t>}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مريم: 26] التي ثبت فيها علم الرفع على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الرغم من تقدم جازم، كما حمل قراءة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9143D7">
        <w:rPr>
          <w:rFonts w:ascii="QCF_P001" w:hAnsi="QCF_P001" w:cs="QCF_P001"/>
          <w:b/>
          <w:bCs/>
          <w:sz w:val="18"/>
          <w:szCs w:val="18"/>
          <w:rtl/>
        </w:rPr>
        <w:t>ﭖ ﭗ ﭘ ﭙ</w:t>
      </w:r>
      <w:r w:rsidRPr="009143D7">
        <w:rPr>
          <w:rFonts w:ascii="QCF_P001" w:hAnsi="QCF_P001" w:cs="DecoType Thuluth"/>
          <w:b/>
          <w:bCs/>
          <w:sz w:val="18"/>
          <w:szCs w:val="18"/>
          <w:rtl/>
        </w:rPr>
        <w:t>}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الفاتحة: 2]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الحمد لله على لغية له قال: لأن حركة الإعراب لا تستهلك لحركة الإتباع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إلا على لغية ضعيفة، فهو لا يسمي أصحاب اللغات، ولكنه يميز بين اللغة واللغية،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ولعل ذلك يعود إلى إيثاره الإيجاز على الإطالة التي وقع فيها أستاذه الفارسي في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كتابه (الحجة)، أو إلى أنه قد أوفى هذه اللهجات حقها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في كتابه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الخصائص)،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فلم يشأ التفصيل أو التكرار في (المحتسب)، فتنبه هذا من ناحية لهجات العرب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9143D7" w:rsidRPr="009143D7" w:rsidRDefault="009143D7" w:rsidP="009143D7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أما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استعانته بأقوال العرب، فكانت على درجات مختلفة، فهو يحمل عليها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بعض الشواذ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إذا </w:t>
      </w:r>
      <w:r w:rsidRPr="009143D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غاب الشاهد القرآني أو الشاهد الشعري، وقد يستأنس بها ويؤكد ما يذهب إليه، وقد</w:t>
      </w:r>
      <w:r w:rsidRPr="009143D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يقيس عليها أيضًا، فقد حمل قراءة الأعمش</w:t>
      </w:r>
      <w:r w:rsidRPr="009143D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DecoType Thuluth"/>
          <w:b/>
          <w:bCs/>
          <w:spacing w:val="4"/>
          <w:sz w:val="18"/>
          <w:szCs w:val="18"/>
          <w:rtl/>
          <w:lang w:bidi="ar-EG"/>
        </w:rPr>
        <w:t>{</w:t>
      </w:r>
      <w:r w:rsidRPr="009143D7">
        <w:rPr>
          <w:rFonts w:ascii="QCF_P068" w:hAnsi="QCF_P068" w:cs="QCF_P068"/>
          <w:b/>
          <w:bCs/>
          <w:spacing w:val="4"/>
          <w:sz w:val="18"/>
          <w:szCs w:val="18"/>
          <w:rtl/>
        </w:rPr>
        <w:t>ﮒ ﮓ ﮔ ﮕ ﮖ ﮗ ﮘ ﮙ ﮚ ﮛ ﮜ ﮝ ﮞ ﮟ ﮠ ﮡ ﮢ</w:t>
      </w:r>
      <w:r w:rsidRPr="009143D7">
        <w:rPr>
          <w:rFonts w:ascii="QCF_P068" w:hAnsi="QCF_P068" w:cs="DecoType Thuluth"/>
          <w:b/>
          <w:bCs/>
          <w:spacing w:val="4"/>
          <w:sz w:val="18"/>
          <w:szCs w:val="18"/>
          <w:rtl/>
        </w:rPr>
        <w:t>}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آل عمران: 145]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ومن يرد ثواب الدنيا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يؤته منها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حملها على إضمار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الفاعل لدلالة الحالية عليه، أن الذي يؤتيه هو الله، وهو الفاعل على قولهم: من كذب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كان شرًّا له؛ لأن الفاعل يؤته يدل عليه الكلام السابق، وكذا اسم كان والتقدير: يؤته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الله، وكان الكذب شرًّا له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9143D7" w:rsidRPr="009143D7" w:rsidRDefault="009143D7" w:rsidP="009143D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كما احتج لقراءة ابن يعمر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ثم آتينا موسى الكتاب تمامًا على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الذي أحسن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أعني: هو أحسن بقولهم: ما أنا بالذي قائل لك شيئًا، فقد قدمه على بيت من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الشعر، واستأنس أبو الفتح بن جني بقولهم: إذا كان غدًا فائتيني في الاحتجاج لقراءة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ابن عباس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يوم نكشف عن ساق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، الذي قدر فيها إضمار الفاعل لدلالة الحال عليه، وذلك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بعد أن استشهد لها ببيت من الشعر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9143D7" w:rsidRPr="009143D7" w:rsidRDefault="009143D7" w:rsidP="009143D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وأبو الفتح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يذكر أحيانًا بعض من يحتج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بأقوالهم، ولا سيما الذين عاصرهم ولم تفسد سلائقهم، فقد استشهد لإحدى القراءات بقول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أعرابي من عقيل كان معه في رحلة صحراوية قال: سمعت 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lastRenderedPageBreak/>
        <w:t>سنة خمس وخمسين غلامًا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حدثًا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من عقيل ومعه سيف في يده، فقال له بعض الحاضرين: وكنا مسحرين يا أعرابي سيفك هذا يقطع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البطيخ، فقال: أي والله، وغوارب الرجال أي: ويقطع غوارب الرجال</w:t>
      </w:r>
      <w:r w:rsidRPr="009143D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9143D7" w:rsidRPr="009143D7" w:rsidRDefault="009143D7" w:rsidP="009143D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كما استشهد ببعض أقوال الحجاج بن يوسف الثقفي، وأبو الفتح قد جعل بعض هذه الأقوال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ميدانًا لمناقشة بعض الوجوه، وقد يجعلها ميدانًا للقياس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9143D7" w:rsidRPr="009143D7" w:rsidRDefault="009143D7" w:rsidP="009143D7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وخلاصة القول: </w:t>
      </w:r>
      <w:r w:rsidRPr="009143D7">
        <w:rPr>
          <w:rFonts w:ascii="Simplified Arabic" w:hAnsi="Simplified Arabic" w:cs="AL-Hotham" w:hint="cs"/>
          <w:b/>
          <w:bCs/>
          <w:sz w:val="18"/>
          <w:szCs w:val="18"/>
          <w:rtl/>
        </w:rPr>
        <w:t>أ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ن لغات العرب،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وأقوال العرب تُعد مصدر آخر من مصادر أبي الفتح، فقد احتج بها لكثير من الوجوه، واستدل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على وجوه أخرى، وقاس عليها، وكان يصدر في ذلك كله عن سعة اطلاع وذخيرة وافرة مكنته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</w:rPr>
        <w:t>حافظة قوية، واختلاف دائب إلى البادية</w:t>
      </w:r>
      <w:r w:rsidRPr="009143D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9143D7" w:rsidRPr="009143D7" w:rsidRDefault="009143D7" w:rsidP="009143D7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9143D7" w:rsidRPr="009143D7" w:rsidRDefault="009143D7" w:rsidP="009143D7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9143D7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9143D7" w:rsidRPr="009143D7" w:rsidRDefault="009143D7" w:rsidP="009143D7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9143D7" w:rsidRPr="009143D7" w:rsidRDefault="009143D7" w:rsidP="009143D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9143D7" w:rsidRPr="009143D7" w:rsidRDefault="009143D7" w:rsidP="009143D7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9143D7" w:rsidRPr="009143D7" w:rsidRDefault="009143D7" w:rsidP="009143D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9143D7" w:rsidRPr="009143D7" w:rsidRDefault="009143D7" w:rsidP="009143D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9143D7" w:rsidRPr="009143D7" w:rsidRDefault="009143D7" w:rsidP="009143D7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9143D7" w:rsidRPr="009143D7" w:rsidRDefault="009143D7" w:rsidP="009143D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9143D7" w:rsidRPr="009143D7" w:rsidRDefault="009143D7" w:rsidP="009143D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9143D7" w:rsidRPr="009143D7" w:rsidRDefault="009143D7" w:rsidP="009143D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9143D7" w:rsidRPr="009143D7" w:rsidRDefault="009143D7" w:rsidP="009143D7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9143D7" w:rsidRPr="009143D7" w:rsidRDefault="009143D7" w:rsidP="009143D7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9143D7" w:rsidRPr="009143D7" w:rsidRDefault="009143D7" w:rsidP="009143D7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9143D7" w:rsidRPr="009143D7" w:rsidRDefault="009143D7" w:rsidP="009143D7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9143D7" w:rsidRPr="009143D7" w:rsidRDefault="009143D7" w:rsidP="009143D7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9143D7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9143D7" w:rsidRPr="009143D7" w:rsidRDefault="009143D7" w:rsidP="009143D7">
      <w:pPr>
        <w:rPr>
          <w:rFonts w:hint="cs"/>
          <w:b/>
          <w:bCs/>
          <w:sz w:val="18"/>
          <w:szCs w:val="18"/>
        </w:rPr>
      </w:pPr>
    </w:p>
    <w:p w:rsidR="009143D7" w:rsidRPr="009143D7" w:rsidRDefault="009143D7" w:rsidP="009143D7">
      <w:pPr>
        <w:rPr>
          <w:b/>
          <w:bCs/>
          <w:sz w:val="18"/>
          <w:szCs w:val="18"/>
        </w:rPr>
      </w:pPr>
    </w:p>
    <w:p w:rsidR="009143D7" w:rsidRPr="009143D7" w:rsidRDefault="009143D7" w:rsidP="009143D7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9143D7" w:rsidRPr="009143D7" w:rsidRDefault="009143D7" w:rsidP="009143D7">
      <w:pPr>
        <w:rPr>
          <w:b/>
          <w:bCs/>
          <w:sz w:val="18"/>
          <w:szCs w:val="18"/>
        </w:rPr>
      </w:pPr>
    </w:p>
    <w:p w:rsidR="004219C3" w:rsidRPr="009143D7" w:rsidRDefault="004219C3" w:rsidP="009143D7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sectPr w:rsidR="004219C3" w:rsidRPr="009143D7" w:rsidSect="009143D7">
      <w:type w:val="continuous"/>
      <w:pgSz w:w="11906" w:h="16838"/>
      <w:pgMar w:top="1440" w:right="849" w:bottom="993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5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143D7"/>
    <w:rsid w:val="001A2769"/>
    <w:rsid w:val="004168A0"/>
    <w:rsid w:val="004219C3"/>
    <w:rsid w:val="004A286F"/>
    <w:rsid w:val="0091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3D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143D7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914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3762</Characters>
  <Application>Microsoft Office Word</Application>
  <DocSecurity>0</DocSecurity>
  <Lines>31</Lines>
  <Paragraphs>8</Paragraphs>
  <ScaleCrop>false</ScaleCrop>
  <Company>Fannan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2013-06-16T15:13:00Z</dcterms:created>
  <dcterms:modified xsi:type="dcterms:W3CDTF">2013-06-16T15:16:00Z</dcterms:modified>
</cp:coreProperties>
</file>