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9" w:rsidRDefault="000F3B09" w:rsidP="000F3B09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0F3B09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موقف ابن جني من الاحتجاج بالأحاديث النبوية</w:t>
      </w:r>
    </w:p>
    <w:p w:rsidR="000F3B09" w:rsidRDefault="000F3B09" w:rsidP="000F3B09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0F3B09" w:rsidRPr="00F7753E" w:rsidRDefault="000F3B09" w:rsidP="000F3B09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0F3B09" w:rsidRPr="00F7753E" w:rsidRDefault="000F3B09" w:rsidP="000F3B09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0F3B09" w:rsidRPr="00F7753E" w:rsidRDefault="000F3B09" w:rsidP="000F3B09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0F3B09" w:rsidRPr="00426F7E" w:rsidRDefault="000F3B09" w:rsidP="000F3B09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0F3B09" w:rsidRPr="00426F7E" w:rsidRDefault="000F3B09" w:rsidP="000F3B09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0F3B09" w:rsidRPr="00426F7E" w:rsidRDefault="000F3B09" w:rsidP="000F3B09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0F3B09" w:rsidRPr="00426F7E" w:rsidRDefault="000F3B09" w:rsidP="000F3B09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0F3B09" w:rsidRDefault="000F3B09" w:rsidP="000F3B09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0F3B09" w:rsidRPr="00426F7E" w:rsidRDefault="000F3B09" w:rsidP="000F3B09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0F3B09" w:rsidRDefault="000F3B09" w:rsidP="000F3B09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0F3B09" w:rsidSect="000F3B09">
          <w:pgSz w:w="11906" w:h="16838"/>
          <w:pgMar w:top="1440" w:right="991" w:bottom="851" w:left="1800" w:header="708" w:footer="708" w:gutter="0"/>
          <w:cols w:space="708"/>
          <w:bidi/>
          <w:rtlGutter/>
          <w:docGrid w:linePitch="360"/>
        </w:sectPr>
      </w:pPr>
    </w:p>
    <w:p w:rsidR="000F3B09" w:rsidRPr="000F3B09" w:rsidRDefault="000F3B09" w:rsidP="000F3B09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0F3B09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موقف ابن جني من الاحتجاج بالأحاديث النبوية</w:t>
      </w:r>
    </w:p>
    <w:p w:rsidR="000F3B09" w:rsidRPr="000F3B09" w:rsidRDefault="000F3B09" w:rsidP="000F3B09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0F3B09" w:rsidRPr="000F3B09" w:rsidRDefault="000F3B09" w:rsidP="000F3B09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0F3B09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0F3B09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موقف، الاحتجاج، الاحاديث</w:t>
      </w:r>
    </w:p>
    <w:p w:rsidR="000F3B09" w:rsidRPr="000F3B09" w:rsidRDefault="000F3B09" w:rsidP="000F3B09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0F3B09" w:rsidRPr="000F3B09" w:rsidRDefault="000F3B09" w:rsidP="000F3B09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0F3B09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موقف ابن جني من الاحتجاج بالأحاديث النبوية</w:t>
      </w:r>
    </w:p>
    <w:p w:rsidR="000F3B09" w:rsidRPr="000F3B09" w:rsidRDefault="000F3B09" w:rsidP="000F3B09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F3B09" w:rsidRPr="000F3B09" w:rsidRDefault="000F3B09" w:rsidP="000F3B09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نبين موقف ابن جني من الحديث النبوي في الاحتجاج للشواذ، فنقول: لم يغفل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ابن جني جانب الحديث النبوي في الاحتجاج للقراءات الشاذة، بل إنه وقف في بعض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توجيهاته عند عدد من الأحاديث النبوية الشريفة يستدل بها على بعض الوجوه، ويهتدي بها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إلى بعض المعاني، وكانت وقفاته في ذلك تختلف عمومًا عن مواقف النحويين قبله في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توجيهاتهم، أو في توجيههم للشواذ على أن أغلب هذه الأحاديث كان يدور حول قضايا لغوية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وصرفية وبلاغية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ومن وقفاته النحوية نذكر احتجاجه لقراءة أبي سعيد الخدري</w:t>
      </w:r>
      <w:r w:rsidRPr="000F3B09">
        <w:rPr>
          <w:rFonts w:ascii="Simplified Arabic" w:hAnsi="Simplified Arabic" w:cs="AL-Hotham" w:hint="cs"/>
          <w:b/>
          <w:bCs/>
          <w:spacing w:val="2"/>
          <w:sz w:val="18"/>
          <w:szCs w:val="18"/>
          <w:rtl/>
          <w:lang w:bidi="ar-EG"/>
        </w:rPr>
        <w:t>: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وأما الغلام فكان أبواه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مؤمنان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، فقد ذهب إلى أن اسم كان هو ضمير الشأن، وأن خبرها هو جملة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أبواه مؤمنان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" 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وقرر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أنه لا حاجة إلى عود الضمير من الجملة على اسم كان؛ لأن ضمير الشأن هو الجملة في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المعنى، ثم استشهد لذلك بوجه من وجوه قول النبي </w:t>
      </w:r>
      <w:r w:rsidRPr="000F3B09">
        <w:rPr>
          <w:rFonts w:ascii="AGA Arabesque" w:hAnsi="AGA Arabesque" w:cs="Simplified Arabic"/>
          <w:b/>
          <w:bCs/>
          <w:spacing w:val="2"/>
          <w:position w:val="-4"/>
          <w:sz w:val="18"/>
          <w:szCs w:val="18"/>
        </w:rPr>
        <w:t>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((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كل مولود يولد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على الفطرة، حتى يكونَ أبواه هما اللذان يهوِّدانه، أو ينصِّرانه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))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قال ابن جني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وإن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شئت كان في كان ضمير الشأن، والحديث وما بعده خبر عنه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أيضًا من الأشياء التي كان يحتج بها ابن جني للقراءات الشاذة أشعار العرب: لم يكن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الشعر عند ابن جني أقل شأنًا من القراءات في الاحتجاج للشواذ، بل كان مصدرًا </w:t>
      </w:r>
      <w:r w:rsidRPr="000F3B09">
        <w:rPr>
          <w:rFonts w:ascii="Simplified Arabic" w:hAnsi="Simplified Arabic" w:cs="AL-Hotham" w:hint="cs"/>
          <w:b/>
          <w:bCs/>
          <w:sz w:val="18"/>
          <w:szCs w:val="18"/>
          <w:rtl/>
        </w:rPr>
        <w:t>م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همًّا،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وقاعدة أساسية أخرى أسهمت في الكشف عن كثير من الوجوه،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وقد تفوق هذا الأسلوب على القراءات عدد شواهد ولكنه لم يتقدمها قيمة، أو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اعتبارًا، فابن جني كان يُؤثر القراءة القرآنية إذا وجدت، ويقدمها عليه، فمن ذلك موقفه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من قراءة ابن السميفع</w:t>
      </w:r>
      <w:r w:rsidRPr="000F3B09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وهو الذي أرسل الرياح بشرًا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، فقد احتج للمصدر </w:t>
      </w:r>
      <w:r w:rsidRPr="000F3B09">
        <w:rPr>
          <w:rFonts w:ascii="Simplified Arabic" w:hAnsi="Simplified Arabic" w:cs="AL-Hotham" w:hint="cs"/>
          <w:b/>
          <w:bCs/>
          <w:spacing w:val="2"/>
          <w:sz w:val="18"/>
          <w:szCs w:val="18"/>
          <w:rtl/>
        </w:rPr>
        <w:t>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بشر</w:t>
      </w:r>
      <w:r w:rsidRPr="000F3B09">
        <w:rPr>
          <w:rFonts w:ascii="Simplified Arabic" w:hAnsi="Simplified Arabic" w:cs="AL-Hotham" w:hint="cs"/>
          <w:b/>
          <w:bCs/>
          <w:spacing w:val="2"/>
          <w:sz w:val="18"/>
          <w:szCs w:val="18"/>
          <w:rtl/>
        </w:rPr>
        <w:t>ً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</w:t>
      </w:r>
      <w:r w:rsidRPr="000F3B09">
        <w:rPr>
          <w:rFonts w:ascii="Simplified Arabic" w:hAnsi="Simplified Arabic" w:cs="AL-Hotham" w:hint="cs"/>
          <w:b/>
          <w:bCs/>
          <w:spacing w:val="2"/>
          <w:sz w:val="18"/>
          <w:szCs w:val="18"/>
          <w:rtl/>
        </w:rPr>
        <w:t>"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 في وقوعه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حالًا بقوله تعالى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: </w:t>
      </w:r>
      <w:r w:rsidRPr="000F3B09">
        <w:rPr>
          <w:rFonts w:ascii="Simplified Arabic" w:hAnsi="Simplified Arabic" w:cs="DecoType Thuluth"/>
          <w:b/>
          <w:bCs/>
          <w:spacing w:val="2"/>
          <w:sz w:val="18"/>
          <w:szCs w:val="18"/>
          <w:rtl/>
          <w:lang w:bidi="ar-EG"/>
        </w:rPr>
        <w:t>{</w:t>
      </w:r>
      <w:r w:rsidRPr="000F3B09">
        <w:rPr>
          <w:rFonts w:ascii="QCF_P044" w:hAnsi="QCF_P044" w:cs="QCF_P044"/>
          <w:b/>
          <w:bCs/>
          <w:spacing w:val="2"/>
          <w:sz w:val="18"/>
          <w:szCs w:val="18"/>
          <w:rtl/>
        </w:rPr>
        <w:t>ﭲ ﭳ ﭴ ﭵ</w:t>
      </w:r>
      <w:r w:rsidRPr="000F3B09">
        <w:rPr>
          <w:rFonts w:ascii="QCF_P044" w:hAnsi="QCF_P044" w:cs="DecoType Thuluth"/>
          <w:b/>
          <w:bCs/>
          <w:spacing w:val="2"/>
          <w:sz w:val="18"/>
          <w:szCs w:val="18"/>
          <w:rtl/>
        </w:rPr>
        <w:t>}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[</w:t>
      </w:r>
      <w:r w:rsidRPr="000F3B09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البقرة: 260]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، ثم أردفه بقول الشاعر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65"/>
        <w:gridCol w:w="546"/>
        <w:gridCol w:w="1908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فأقبلت زحفًا على الركبتين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 xml:space="preserve">فثوبًا </w:t>
            </w:r>
            <w:r w:rsidRPr="000F3B09">
              <w:rPr>
                <w:rFonts w:cs="AGA Furat Regular" w:hint="cs"/>
                <w:b/>
                <w:bCs/>
                <w:sz w:val="18"/>
                <w:szCs w:val="18"/>
                <w:rtl/>
              </w:rPr>
              <w:t>لب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ست وثوبًا أجر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وكذا كان حاله في معظم احتجاجه بالشعر، ونادرًا ما كان يفعل خلاف ذلك، فيقدم الشعر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على القرآن،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نذكر من ذلك احتجاجه لقراءة الجحدري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بل كذبوا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بالحق لما جاءهم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التي ذهب فيها إلى أن اللام بمعنى الظرف عند، فقد استشهد لها أولًا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بقول الشاعر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20"/>
        <w:gridCol w:w="549"/>
        <w:gridCol w:w="1950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شنئت العقر عقر بني شليل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إذا هبت لقاريها الرياح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ثم استشهد بقوله تعالى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0F3B09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0F3B09">
        <w:rPr>
          <w:rFonts w:ascii="QCF_P174" w:hAnsi="QCF_P174" w:cs="QCF_P174"/>
          <w:b/>
          <w:bCs/>
          <w:sz w:val="18"/>
          <w:szCs w:val="18"/>
          <w:rtl/>
        </w:rPr>
        <w:t xml:space="preserve"> ﯻ ﯼ ﯽ ﯾ ﯿ</w:t>
      </w:r>
      <w:r w:rsidRPr="000F3B09">
        <w:rPr>
          <w:rFonts w:ascii="QCF_P174" w:hAnsi="QCF_P174" w:cs="DecoType Thuluth"/>
          <w:b/>
          <w:bCs/>
          <w:sz w:val="18"/>
          <w:szCs w:val="18"/>
          <w:rtl/>
        </w:rPr>
        <w:t>}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الأعراف: 187] أي: لا يجليها عند وقتها إلا هو، وواضح أن هذا التقديم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لسبب، وهو أن اللام في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لقاريها لا تحتمل غير معنى عند،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أما اللام في لوقتها فتحتمل معنى في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لقد أكثر أبو الفتح في الاستعانة بالشعر، وذلك للاحتجاج للقراءة،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أو لتأكيد استدلاله الذي يقرره بالقرآن، أو غيره من الأساليب، كما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أنه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كما أنه لم يقصر في اللجوء إليه للاستدلال على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آرائه التي يذهب إليها، أو للاحتياط لأحكامه التي يقررها، ويتجلى ذلك أكثر ما يتجلى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في عقد المقارنات بين الشواذ وبعض الأشعار التي يستشهد بها، أم لاحتجاجه استشهاده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لقراءة رؤية بن العجاج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إن الله لا يستحيي أن يضرب مثلًا ما بعوضة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لقول الشاعر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9"/>
        <w:gridCol w:w="548"/>
        <w:gridCol w:w="1932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لم أر مثل الفتيان في غير الـ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أيام ينسون ما عواقبا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صدر الصلة هو العائد على ما، وقد كان كثير من هذه الأشعار يأتي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توكيدًا لما يذهب إليه، فهو بعد أن يشرح الوجه ويمثل له، أو يحتج له بالقرآن الكريم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أو غير ذلك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يورد الشاهد الشعري، نذكر من ذلك موقفه من قراءة عكرمة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يا أيها المزمل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، فقد قرر أن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هذه القراءة على حذف المفعول به، وأن تقديرها: يا أيها المزمل نفسه، ثم استشهد لها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بقوله تعالى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وأوتيت من كل شيء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أي: من كل شيء شيئًا، ثم جاء بقول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</w:t>
      </w:r>
      <w:r w:rsidRPr="000F3B09">
        <w:rPr>
          <w:rFonts w:ascii="Simplified Arabic" w:hAnsi="Simplified Arabic" w:cs="AL-Hotham" w:hint="cs"/>
          <w:b/>
          <w:bCs/>
          <w:sz w:val="18"/>
          <w:szCs w:val="18"/>
          <w:rtl/>
        </w:rPr>
        <w:t>ح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طيئة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16"/>
        <w:gridCol w:w="546"/>
        <w:gridCol w:w="1957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منعمة تصون إليك منها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كصونك من رداءٍ شرعبيّ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أي: تصون حديثها، وهو لا يكتفي بالشاهد الواحد ولا سيما إذا استطرد واستغرقه القول، فقد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يورد شاهدين للقراءة، أو ثلاثة، أو أربعة وذلك حسب ما يقتضيه المقام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ولكن الشواهد قد تكثر فتبلغ ثمانية، وذلك سعيًا إلى إقناع القارئ، أو تأكيد صحة الوجه واطراده في كلام العرب، وابن جني لا يأتي بالشاهد إلا كاملًا؛ إذ قد يضطر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إلى سوق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الماء قبل البيت، وربما بعده كيفما يستوفي المعنى، ويتحقق الاستشهاد، وذلك لارتباط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موطن الشاهد بالأبيات جميعًا،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فمن ذلك إيراده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ثلاثة أبيات للاستدلال على قراءة ابن مسعود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وإن تبدوا ما في أنفسكم أو تخفوه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يحاسبكم به الله فيغفر لمن يشاء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، فقد ذهب إلى أن يغفر بدل من يحاسبكم بدل بعض من كل،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أو بدل اشتمال، واحتج لذلك بقول الشاعر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50"/>
        <w:gridCol w:w="543"/>
        <w:gridCol w:w="1926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رويدًا بني شيبان بعض وعيدكم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تلاقوا غد</w:t>
            </w:r>
            <w:r w:rsidRPr="000F3B09">
              <w:rPr>
                <w:rFonts w:cs="AGA Furat Regular" w:hint="cs"/>
                <w:b/>
                <w:bCs/>
                <w:sz w:val="18"/>
                <w:szCs w:val="18"/>
                <w:rtl/>
              </w:rPr>
              <w:t>ً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ا خيلي على سوفان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تلاقوا جيادا لا تحيد عن الوغى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إذا ما غدت في المأزق المتداني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تلاقوهم فتعارفوا كيف صبرهم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على ما جئت فيهم يد الحدثان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فقد أبدل الشاعر: تلاقوا جيادًا من تلاقوا غدًا خيلي، كما أبدل تلاقوهم من تلاقوا جيادًا أيضًا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وقد يختصر في استشهاده على شطر من الشعر صدره أو عجزه إذا تم له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الاستشهاد، وهو يفعل ذلك عادة؛ ليقينه بشهر هذا البيت، ومعرفة العلماء له، ومن ذلك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استشهاده لحذف المفعول في قراءة ابن عباس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وجعلناكم شعوب</w:t>
      </w:r>
      <w:r w:rsidRPr="000F3B09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 وقبائل لتعارفوا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بعجز بيت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89"/>
        <w:gridCol w:w="551"/>
        <w:gridCol w:w="1979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 w:hint="cs"/>
                <w:b/>
                <w:bCs/>
                <w:sz w:val="18"/>
                <w:szCs w:val="18"/>
                <w:rtl/>
              </w:rPr>
              <w:t>.... .... .... ....</w:t>
            </w:r>
            <w:r w:rsidRPr="000F3B09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وما علم الإنسان إلا ليعلمًا</w:t>
            </w: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أي: ليعلم ما يدعو إلى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علمه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بل إنه قد يكتفي بأقل من شطر؛ حرصًا على الإيجاز الذي تعهد به لقارئه،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ومن ذلك احتجاجه لقراءة أبي حيوة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فإن لك في الحياة أن تقول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لا مساس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، فقد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ذهب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إلى أنها على تقدير حكاية أي: لا أقول مساس، وأنها كقول الكميت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9"/>
      </w:tblGrid>
      <w:tr w:rsidR="000F3B09" w:rsidRPr="000F3B09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F3B09" w:rsidRPr="000F3B09" w:rsidRDefault="000F3B09" w:rsidP="000F3B09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F3B09">
              <w:rPr>
                <w:rFonts w:cs="AGA Furat Regular"/>
                <w:b/>
                <w:bCs/>
                <w:sz w:val="18"/>
                <w:szCs w:val="18"/>
                <w:rtl/>
              </w:rPr>
              <w:t>لا همام لي لا همام</w:t>
            </w:r>
            <w:r w:rsidRPr="000F3B09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ولقد كان أبو الفتح يستعين بالشعر لما يذهب إليه من أقوال تتعلق بتوجيه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القراءة الشاذة، كما كان يختار لنفسه الروايات التي تناسب استدلاله، ويترك الأخرى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التي لا تناسبه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F3B09" w:rsidRPr="000F3B09" w:rsidRDefault="000F3B09" w:rsidP="000F3B09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وكذلك كان ابن جني يكرر كما هو الأمر في القراءات بعض الشواهد التي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</w:rPr>
        <w:t>تناسب الاحتجاج لعدد من القراءات</w:t>
      </w:r>
      <w:r w:rsidRPr="000F3B0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F3B09" w:rsidRPr="000F3B09" w:rsidRDefault="000F3B09" w:rsidP="000F3B09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0F3B09" w:rsidRPr="000F3B09" w:rsidRDefault="000F3B09" w:rsidP="000F3B09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0F3B09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0F3B09" w:rsidRPr="000F3B09" w:rsidRDefault="000F3B09" w:rsidP="000F3B09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0F3B09" w:rsidRPr="000F3B09" w:rsidRDefault="000F3B09" w:rsidP="000F3B09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أحمد البيلي،  بيروت، دار الجبل، 1988م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0F3B09" w:rsidRPr="000F3B09" w:rsidRDefault="000F3B09" w:rsidP="000F3B09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0F3B09" w:rsidRPr="000F3B09" w:rsidRDefault="000F3B09" w:rsidP="000F3B09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0F3B09" w:rsidRPr="000F3B09" w:rsidRDefault="000F3B09" w:rsidP="000F3B09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0F3B09" w:rsidRPr="000F3B09" w:rsidRDefault="000F3B09" w:rsidP="000F3B09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0F3B09" w:rsidRPr="000F3B09" w:rsidRDefault="000F3B09" w:rsidP="000F3B09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0F3B09" w:rsidRPr="000F3B09" w:rsidRDefault="000F3B09" w:rsidP="000F3B09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0F3B0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0F3B09" w:rsidRPr="000F3B09" w:rsidRDefault="000F3B09" w:rsidP="000F3B09">
      <w:pPr>
        <w:rPr>
          <w:rFonts w:hint="cs"/>
          <w:b/>
          <w:bCs/>
          <w:sz w:val="18"/>
          <w:szCs w:val="18"/>
        </w:rPr>
      </w:pPr>
    </w:p>
    <w:p w:rsidR="000F3B09" w:rsidRDefault="000F3B09" w:rsidP="000F3B09">
      <w:pPr>
        <w:rPr>
          <w:rtl/>
        </w:rPr>
        <w:sectPr w:rsidR="000F3B09" w:rsidSect="000F3B09">
          <w:type w:val="continuous"/>
          <w:pgSz w:w="11906" w:h="16838"/>
          <w:pgMar w:top="1440" w:right="991" w:bottom="851" w:left="1800" w:header="708" w:footer="708" w:gutter="0"/>
          <w:cols w:num="2" w:space="708"/>
          <w:bidi/>
          <w:rtlGutter/>
          <w:docGrid w:linePitch="360"/>
        </w:sectPr>
      </w:pPr>
    </w:p>
    <w:p w:rsidR="000F3B09" w:rsidRDefault="000F3B09" w:rsidP="000F3B09"/>
    <w:p w:rsidR="000F3B09" w:rsidRDefault="000F3B09" w:rsidP="000F3B09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0F3B09" w:rsidRDefault="000F3B09" w:rsidP="000F3B09"/>
    <w:p w:rsidR="004219C3" w:rsidRPr="000F3B09" w:rsidRDefault="004219C3" w:rsidP="000F3B09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0F3B09" w:rsidSect="000F3B09">
      <w:type w:val="continuous"/>
      <w:pgSz w:w="11906" w:h="16838"/>
      <w:pgMar w:top="1440" w:right="991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3B09"/>
    <w:rsid w:val="000F3B09"/>
    <w:rsid w:val="001A2769"/>
    <w:rsid w:val="004168A0"/>
    <w:rsid w:val="004219C3"/>
    <w:rsid w:val="004A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B0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F3B09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0F3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5420</Characters>
  <Application>Microsoft Office Word</Application>
  <DocSecurity>0</DocSecurity>
  <Lines>45</Lines>
  <Paragraphs>12</Paragraphs>
  <ScaleCrop>false</ScaleCrop>
  <Company>Fannan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2013-06-16T15:13:00Z</dcterms:created>
  <dcterms:modified xsi:type="dcterms:W3CDTF">2013-06-16T15:17:00Z</dcterms:modified>
</cp:coreProperties>
</file>